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DADA" w14:textId="77777777" w:rsidR="00A869C6" w:rsidRPr="00A869C6" w:rsidRDefault="00A869C6" w:rsidP="00A869C6">
      <w:pPr>
        <w:autoSpaceDN w:val="0"/>
        <w:spacing w:after="0"/>
        <w:jc w:val="center"/>
        <w:outlineLvl w:val="0"/>
        <w:rPr>
          <w:rFonts w:ascii="Arial" w:eastAsia="Times New Roman" w:hAnsi="Arial" w:cs="Arial"/>
          <w:b/>
          <w:bCs/>
          <w:sz w:val="24"/>
          <w:szCs w:val="24"/>
          <w:lang w:eastAsia="cs-CZ"/>
        </w:rPr>
      </w:pPr>
      <w:r w:rsidRPr="00A869C6">
        <w:rPr>
          <w:rFonts w:ascii="Arial" w:eastAsia="Times New Roman" w:hAnsi="Arial" w:cs="Arial"/>
          <w:b/>
          <w:bCs/>
          <w:sz w:val="24"/>
          <w:szCs w:val="24"/>
          <w:lang w:eastAsia="cs-CZ"/>
        </w:rPr>
        <w:t>STATUTÁRNÍ MĚSTO JABLONEC NAD NISOU</w:t>
      </w:r>
    </w:p>
    <w:p w14:paraId="5046976A" w14:textId="77777777" w:rsidR="00A869C6" w:rsidRPr="00A869C6" w:rsidRDefault="00A869C6" w:rsidP="00A869C6">
      <w:pPr>
        <w:autoSpaceDN w:val="0"/>
        <w:spacing w:after="0"/>
        <w:jc w:val="center"/>
        <w:outlineLvl w:val="0"/>
        <w:rPr>
          <w:rFonts w:ascii="Arial" w:eastAsia="Times New Roman" w:hAnsi="Arial" w:cs="Arial"/>
          <w:b/>
          <w:bCs/>
          <w:sz w:val="24"/>
          <w:szCs w:val="24"/>
          <w:lang w:eastAsia="cs-CZ"/>
        </w:rPr>
      </w:pPr>
      <w:r w:rsidRPr="00A869C6">
        <w:rPr>
          <w:rFonts w:ascii="Arial" w:eastAsia="Times New Roman" w:hAnsi="Arial" w:cs="Arial"/>
          <w:b/>
          <w:bCs/>
          <w:sz w:val="24"/>
          <w:szCs w:val="24"/>
          <w:lang w:eastAsia="cs-CZ"/>
        </w:rPr>
        <w:t>ZASTUPITELSTVO MĚSTA JABLONEC NAD NISOU</w:t>
      </w:r>
    </w:p>
    <w:p w14:paraId="3F2B9C85" w14:textId="77777777" w:rsidR="00A869C6" w:rsidRPr="00A869C6" w:rsidRDefault="00A869C6" w:rsidP="00A869C6">
      <w:pPr>
        <w:autoSpaceDN w:val="0"/>
        <w:spacing w:after="0"/>
        <w:jc w:val="center"/>
        <w:outlineLvl w:val="0"/>
        <w:rPr>
          <w:rFonts w:ascii="Arial" w:eastAsia="Times New Roman" w:hAnsi="Arial" w:cs="Arial"/>
          <w:b/>
          <w:bCs/>
          <w:sz w:val="20"/>
          <w:szCs w:val="20"/>
          <w:lang w:eastAsia="cs-CZ"/>
        </w:rPr>
      </w:pPr>
    </w:p>
    <w:p w14:paraId="07207116" w14:textId="77777777" w:rsidR="00A869C6" w:rsidRPr="00A869C6" w:rsidRDefault="00A869C6" w:rsidP="00A869C6">
      <w:pPr>
        <w:autoSpaceDN w:val="0"/>
        <w:spacing w:after="0"/>
        <w:jc w:val="center"/>
        <w:outlineLvl w:val="0"/>
        <w:rPr>
          <w:rFonts w:ascii="Liberation Serif" w:eastAsia="Songti SC" w:hAnsi="Liberation Serif" w:cs="Arial Unicode MS"/>
          <w:kern w:val="3"/>
          <w:sz w:val="24"/>
          <w:szCs w:val="24"/>
          <w:lang w:eastAsia="zh-CN" w:bidi="hi-IN"/>
        </w:rPr>
      </w:pPr>
      <w:r w:rsidRPr="00A869C6">
        <w:rPr>
          <w:rFonts w:ascii="Arial" w:eastAsia="Times New Roman" w:hAnsi="Arial" w:cs="Arial"/>
          <w:b/>
          <w:bCs/>
          <w:noProof/>
          <w:lang w:eastAsia="cs-CZ"/>
        </w:rPr>
        <w:drawing>
          <wp:inline distT="0" distB="0" distL="0" distR="0" wp14:anchorId="2CA252C4" wp14:editId="1C4F1093">
            <wp:extent cx="523878" cy="790571"/>
            <wp:effectExtent l="0" t="0" r="9522" b="0"/>
            <wp:docPr id="1660537222" name="obrázek 1" descr="Obsah obrázku květina, strom, ilustrace&#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1660537222" name="obrázek 1" descr="Obsah obrázku květina, strom, ilustrace&#10;&#10;Obsah vygenerovaný umělou inteligencí může být nesprávný."/>
                    <pic:cNvPicPr/>
                  </pic:nvPicPr>
                  <pic:blipFill>
                    <a:blip r:embed="rId8"/>
                    <a:srcRect/>
                    <a:stretch>
                      <a:fillRect/>
                    </a:stretch>
                  </pic:blipFill>
                  <pic:spPr>
                    <a:xfrm>
                      <a:off x="0" y="0"/>
                      <a:ext cx="523878" cy="790571"/>
                    </a:xfrm>
                    <a:prstGeom prst="rect">
                      <a:avLst/>
                    </a:prstGeom>
                    <a:noFill/>
                    <a:ln>
                      <a:noFill/>
                      <a:prstDash/>
                    </a:ln>
                  </pic:spPr>
                </pic:pic>
              </a:graphicData>
            </a:graphic>
          </wp:inline>
        </w:drawing>
      </w:r>
    </w:p>
    <w:p w14:paraId="029F1982" w14:textId="77777777" w:rsidR="00A869C6" w:rsidRPr="00A869C6" w:rsidRDefault="00A869C6" w:rsidP="00A869C6">
      <w:pPr>
        <w:autoSpaceDN w:val="0"/>
        <w:spacing w:after="0"/>
        <w:jc w:val="center"/>
        <w:outlineLvl w:val="0"/>
        <w:rPr>
          <w:rFonts w:ascii="Arial" w:eastAsia="Times New Roman" w:hAnsi="Arial" w:cs="Arial"/>
          <w:b/>
          <w:bCs/>
          <w:sz w:val="18"/>
          <w:szCs w:val="18"/>
          <w:lang w:eastAsia="cs-CZ"/>
        </w:rPr>
      </w:pPr>
    </w:p>
    <w:p w14:paraId="558C0D25" w14:textId="77777777" w:rsidR="007512CB" w:rsidRPr="00CC5EF1" w:rsidRDefault="007512CB" w:rsidP="007512CB">
      <w:pPr>
        <w:keepNext/>
        <w:spacing w:after="0" w:line="276" w:lineRule="auto"/>
        <w:jc w:val="center"/>
        <w:rPr>
          <w:rFonts w:ascii="Arial" w:hAnsi="Arial" w:cs="Arial"/>
          <w:b/>
          <w:sz w:val="24"/>
          <w:szCs w:val="24"/>
        </w:rPr>
      </w:pPr>
    </w:p>
    <w:p w14:paraId="120099C5" w14:textId="7860423B" w:rsidR="00C01C4D" w:rsidRPr="00CC5EF1" w:rsidRDefault="00C01C4D" w:rsidP="00C01C4D">
      <w:pPr>
        <w:keepNext/>
        <w:spacing w:after="0" w:line="276" w:lineRule="auto"/>
        <w:jc w:val="left"/>
        <w:rPr>
          <w:rFonts w:ascii="Arial" w:hAnsi="Arial" w:cs="Arial"/>
          <w:bCs/>
        </w:rPr>
      </w:pPr>
      <w:r w:rsidRPr="00CC5EF1">
        <w:rPr>
          <w:rFonts w:ascii="Arial" w:hAnsi="Arial" w:cs="Arial"/>
          <w:bCs/>
        </w:rPr>
        <w:t xml:space="preserve">Číslo jednací: </w:t>
      </w:r>
    </w:p>
    <w:p w14:paraId="76D85E38" w14:textId="77777777" w:rsidR="00C01C4D" w:rsidRPr="00CC5EF1" w:rsidRDefault="00C01C4D" w:rsidP="00C01C4D">
      <w:pPr>
        <w:keepNext/>
        <w:spacing w:after="0" w:line="276" w:lineRule="auto"/>
        <w:jc w:val="left"/>
        <w:rPr>
          <w:rFonts w:ascii="Arial" w:hAnsi="Arial" w:cs="Arial"/>
          <w:b/>
        </w:rPr>
      </w:pPr>
    </w:p>
    <w:p w14:paraId="72F3F80E" w14:textId="0124F9E8" w:rsidR="007512CB" w:rsidRPr="00CC5EF1" w:rsidRDefault="00FB7C48" w:rsidP="007512CB">
      <w:pPr>
        <w:spacing w:line="276" w:lineRule="auto"/>
        <w:jc w:val="center"/>
        <w:rPr>
          <w:rFonts w:ascii="Arial" w:hAnsi="Arial" w:cs="Arial"/>
          <w:b/>
          <w:sz w:val="24"/>
          <w:szCs w:val="24"/>
        </w:rPr>
      </w:pPr>
      <w:r w:rsidRPr="00CC5EF1">
        <w:rPr>
          <w:rFonts w:ascii="Arial" w:hAnsi="Arial" w:cs="Arial"/>
          <w:b/>
          <w:sz w:val="24"/>
          <w:szCs w:val="24"/>
        </w:rPr>
        <w:t>OPATŘENÍ OBECNÉ POVAHY</w:t>
      </w:r>
    </w:p>
    <w:p w14:paraId="1480162B" w14:textId="77777777" w:rsidR="007512CB" w:rsidRPr="00CC5EF1" w:rsidRDefault="007512CB" w:rsidP="007512CB">
      <w:pPr>
        <w:spacing w:line="276" w:lineRule="auto"/>
        <w:jc w:val="center"/>
        <w:rPr>
          <w:rFonts w:ascii="Arial" w:hAnsi="Arial" w:cs="Arial"/>
        </w:rPr>
      </w:pPr>
    </w:p>
    <w:p w14:paraId="6B5D9B12" w14:textId="507CAEAE" w:rsidR="001D2677" w:rsidRDefault="007512CB" w:rsidP="007512CB">
      <w:pPr>
        <w:spacing w:line="276" w:lineRule="auto"/>
        <w:rPr>
          <w:rFonts w:ascii="Arial" w:hAnsi="Arial" w:cs="Arial"/>
        </w:rPr>
      </w:pPr>
      <w:r w:rsidRPr="00CC5EF1">
        <w:rPr>
          <w:rFonts w:ascii="Arial" w:hAnsi="Arial" w:cs="Arial"/>
        </w:rPr>
        <w:t xml:space="preserve">Zastupitelstvo </w:t>
      </w:r>
      <w:r w:rsidR="00C06782" w:rsidRPr="00CC5EF1">
        <w:rPr>
          <w:rFonts w:ascii="Arial" w:hAnsi="Arial" w:cs="Arial"/>
        </w:rPr>
        <w:t>města Jablonec nad Nisou</w:t>
      </w:r>
      <w:r w:rsidRPr="00CC5EF1">
        <w:rPr>
          <w:rFonts w:ascii="Arial" w:hAnsi="Arial" w:cs="Arial"/>
        </w:rPr>
        <w:t xml:space="preserve"> </w:t>
      </w:r>
      <w:r w:rsidR="001D2677" w:rsidRPr="00CC5EF1">
        <w:rPr>
          <w:rFonts w:ascii="Arial" w:hAnsi="Arial" w:cs="Arial"/>
        </w:rPr>
        <w:t xml:space="preserve">jako </w:t>
      </w:r>
      <w:r w:rsidR="0093519F" w:rsidRPr="00CC5EF1">
        <w:rPr>
          <w:rFonts w:ascii="Arial" w:hAnsi="Arial" w:cs="Arial"/>
        </w:rPr>
        <w:t>příslušn</w:t>
      </w:r>
      <w:r w:rsidR="0079614A" w:rsidRPr="00CC5EF1">
        <w:rPr>
          <w:rFonts w:ascii="Arial" w:hAnsi="Arial" w:cs="Arial"/>
        </w:rPr>
        <w:t>ý správní orgán</w:t>
      </w:r>
      <w:r w:rsidR="0093519F" w:rsidRPr="00CC5EF1">
        <w:rPr>
          <w:rFonts w:ascii="Arial" w:hAnsi="Arial" w:cs="Arial"/>
        </w:rPr>
        <w:t xml:space="preserve"> podle ustanovení § 12 odst. 1 písm. b) zákona č. 338/1992 Sb., o dani z nemovitých věcí, ve znění pozdějších předpisů (dále jen „zákon o dani z nemovitých věcí“) </w:t>
      </w:r>
      <w:r w:rsidR="008339B9" w:rsidRPr="00CC5EF1">
        <w:rPr>
          <w:rFonts w:ascii="Arial" w:hAnsi="Arial" w:cs="Arial"/>
        </w:rPr>
        <w:t>a ve spojení s ustanovením § 171 a</w:t>
      </w:r>
      <w:r w:rsidR="00570370" w:rsidRPr="00CC5EF1">
        <w:rPr>
          <w:rFonts w:ascii="Arial" w:hAnsi="Arial" w:cs="Arial"/>
        </w:rPr>
        <w:t> </w:t>
      </w:r>
      <w:r w:rsidR="008339B9" w:rsidRPr="00CC5EF1">
        <w:rPr>
          <w:rFonts w:ascii="Arial" w:hAnsi="Arial" w:cs="Arial"/>
        </w:rPr>
        <w:t>následujících zákona č. 500/2004 Sb., správní řád</w:t>
      </w:r>
      <w:r w:rsidR="004F4243" w:rsidRPr="00CC5EF1">
        <w:rPr>
          <w:rFonts w:ascii="Arial" w:hAnsi="Arial" w:cs="Arial"/>
        </w:rPr>
        <w:t xml:space="preserve">, </w:t>
      </w:r>
      <w:r w:rsidR="006268DF" w:rsidRPr="00CC5EF1">
        <w:rPr>
          <w:rFonts w:ascii="Arial" w:hAnsi="Arial" w:cs="Arial"/>
        </w:rPr>
        <w:t xml:space="preserve">ve znění pozdějších předpisů, </w:t>
      </w:r>
    </w:p>
    <w:p w14:paraId="378328A5" w14:textId="77777777" w:rsidR="007013DA" w:rsidRPr="00CC5EF1" w:rsidRDefault="007013DA" w:rsidP="007013DA">
      <w:pPr>
        <w:spacing w:line="276" w:lineRule="auto"/>
        <w:rPr>
          <w:rFonts w:ascii="Arial" w:hAnsi="Arial" w:cs="Arial"/>
        </w:rPr>
      </w:pPr>
    </w:p>
    <w:p w14:paraId="3DBB2406" w14:textId="77777777" w:rsidR="007013DA" w:rsidRPr="00CC5EF1" w:rsidRDefault="007013DA" w:rsidP="007013DA">
      <w:pPr>
        <w:spacing w:line="276" w:lineRule="auto"/>
        <w:jc w:val="center"/>
        <w:rPr>
          <w:rFonts w:ascii="Arial" w:hAnsi="Arial" w:cs="Arial"/>
          <w:b/>
          <w:sz w:val="24"/>
          <w:szCs w:val="24"/>
        </w:rPr>
      </w:pPr>
      <w:r w:rsidRPr="00CC5EF1">
        <w:rPr>
          <w:rFonts w:ascii="Arial" w:hAnsi="Arial" w:cs="Arial"/>
          <w:b/>
          <w:sz w:val="24"/>
          <w:szCs w:val="24"/>
        </w:rPr>
        <w:t>V Y D Á V Á</w:t>
      </w:r>
    </w:p>
    <w:p w14:paraId="4F61D691" w14:textId="77777777" w:rsidR="007013DA" w:rsidRPr="00CC5EF1" w:rsidRDefault="007013DA" w:rsidP="009F4D66">
      <w:pPr>
        <w:spacing w:line="276" w:lineRule="auto"/>
        <w:rPr>
          <w:rFonts w:ascii="Arial" w:hAnsi="Arial" w:cs="Arial"/>
        </w:rPr>
      </w:pPr>
    </w:p>
    <w:p w14:paraId="77715117" w14:textId="08AA344F" w:rsidR="007013DA" w:rsidRDefault="007013DA" w:rsidP="009F4D66">
      <w:pPr>
        <w:spacing w:line="276" w:lineRule="auto"/>
        <w:rPr>
          <w:rFonts w:ascii="Arial" w:hAnsi="Arial" w:cs="Arial"/>
        </w:rPr>
      </w:pPr>
      <w:r w:rsidRPr="00CC5EF1">
        <w:rPr>
          <w:rFonts w:ascii="Arial" w:hAnsi="Arial" w:cs="Arial"/>
        </w:rPr>
        <w:t xml:space="preserve">opatření obecné povahy, kterým se stanovuje místní koeficient pro vymezené nemovité věci, </w:t>
      </w:r>
      <w:r w:rsidR="00F441C0" w:rsidRPr="00CC5EF1">
        <w:rPr>
          <w:rFonts w:ascii="Arial" w:hAnsi="Arial" w:cs="Arial"/>
        </w:rPr>
        <w:t xml:space="preserve">a to </w:t>
      </w:r>
      <w:r w:rsidR="00F441C0" w:rsidRPr="00CC5EF1">
        <w:rPr>
          <w:rFonts w:ascii="Arial" w:hAnsi="Arial" w:cs="Arial"/>
          <w:b/>
          <w:bCs/>
        </w:rPr>
        <w:t>pro</w:t>
      </w:r>
      <w:r w:rsidR="00CC5EF1" w:rsidRPr="00CC5EF1">
        <w:rPr>
          <w:rFonts w:ascii="Arial" w:hAnsi="Arial" w:cs="Arial"/>
          <w:b/>
          <w:bCs/>
        </w:rPr>
        <w:t xml:space="preserve"> všechny</w:t>
      </w:r>
      <w:r w:rsidRPr="00CC5EF1">
        <w:rPr>
          <w:rFonts w:ascii="Arial" w:hAnsi="Arial" w:cs="Arial"/>
          <w:b/>
          <w:bCs/>
        </w:rPr>
        <w:t xml:space="preserve"> </w:t>
      </w:r>
      <w:r w:rsidR="005D5D5B">
        <w:rPr>
          <w:rFonts w:ascii="Arial" w:hAnsi="Arial" w:cs="Arial"/>
          <w:b/>
          <w:bCs/>
        </w:rPr>
        <w:t xml:space="preserve">zdanitelné </w:t>
      </w:r>
      <w:r w:rsidR="005D5D5B" w:rsidRPr="00DE79CA">
        <w:rPr>
          <w:rFonts w:ascii="Arial" w:hAnsi="Arial" w:cs="Arial"/>
          <w:b/>
          <w:bCs/>
        </w:rPr>
        <w:t>stavby</w:t>
      </w:r>
      <w:r w:rsidRPr="00DE79CA">
        <w:rPr>
          <w:rFonts w:ascii="Arial" w:hAnsi="Arial" w:cs="Arial"/>
          <w:b/>
          <w:bCs/>
          <w:color w:val="00B0F0"/>
        </w:rPr>
        <w:t xml:space="preserve"> </w:t>
      </w:r>
      <w:r w:rsidR="00CD0D53" w:rsidRPr="00DE79CA">
        <w:rPr>
          <w:rFonts w:ascii="Arial" w:hAnsi="Arial" w:cs="Arial"/>
          <w:b/>
          <w:bCs/>
        </w:rPr>
        <w:t>uvedené v Příloze k tomuto opatření obecné povahy</w:t>
      </w:r>
      <w:r w:rsidR="00CC5EF1" w:rsidRPr="00DE79CA">
        <w:rPr>
          <w:rFonts w:ascii="Arial" w:hAnsi="Arial" w:cs="Arial"/>
          <w:b/>
          <w:bCs/>
        </w:rPr>
        <w:t xml:space="preserve">, </w:t>
      </w:r>
      <w:r w:rsidR="005D5D5B" w:rsidRPr="00DE79CA">
        <w:rPr>
          <w:rFonts w:ascii="Arial" w:hAnsi="Arial" w:cs="Arial"/>
          <w:b/>
          <w:bCs/>
        </w:rPr>
        <w:t>a je-li v této Příloze uveden pozemek, pro všechny zdanitelné stavby nacházející se na tomto pozemku,</w:t>
      </w:r>
      <w:r w:rsidR="00CD0D53" w:rsidRPr="00DE79CA">
        <w:rPr>
          <w:rFonts w:ascii="Arial" w:hAnsi="Arial" w:cs="Arial"/>
        </w:rPr>
        <w:t xml:space="preserve"> </w:t>
      </w:r>
      <w:r w:rsidRPr="00DE79CA">
        <w:rPr>
          <w:rFonts w:ascii="Arial" w:hAnsi="Arial" w:cs="Arial"/>
        </w:rPr>
        <w:t>ve výši</w:t>
      </w:r>
      <w:r w:rsidRPr="00DE79CA">
        <w:rPr>
          <w:rFonts w:ascii="Arial" w:hAnsi="Arial" w:cs="Arial"/>
          <w:b/>
          <w:bCs/>
        </w:rPr>
        <w:t xml:space="preserve"> </w:t>
      </w:r>
      <w:r w:rsidR="00F13F9C">
        <w:rPr>
          <w:rFonts w:ascii="Arial" w:hAnsi="Arial" w:cs="Arial"/>
          <w:b/>
          <w:bCs/>
        </w:rPr>
        <w:t>5</w:t>
      </w:r>
      <w:r w:rsidRPr="00DE79CA">
        <w:rPr>
          <w:rFonts w:ascii="Arial" w:hAnsi="Arial" w:cs="Arial"/>
        </w:rPr>
        <w:t>.</w:t>
      </w:r>
    </w:p>
    <w:p w14:paraId="15653224" w14:textId="77777777" w:rsidR="00CC5EF1" w:rsidRPr="00CC5EF1" w:rsidRDefault="00CC5EF1" w:rsidP="009F4D66">
      <w:pPr>
        <w:spacing w:line="276" w:lineRule="auto"/>
        <w:rPr>
          <w:rFonts w:ascii="Arial" w:hAnsi="Arial" w:cs="Arial"/>
        </w:rPr>
      </w:pPr>
    </w:p>
    <w:p w14:paraId="5140C615" w14:textId="02E6F444" w:rsidR="007013DA" w:rsidRPr="00CC5EF1" w:rsidRDefault="007013DA" w:rsidP="009F4D66">
      <w:pPr>
        <w:tabs>
          <w:tab w:val="left" w:pos="1134"/>
        </w:tabs>
        <w:spacing w:line="276" w:lineRule="auto"/>
        <w:rPr>
          <w:rFonts w:ascii="Arial" w:hAnsi="Arial" w:cs="Arial"/>
        </w:rPr>
      </w:pPr>
      <w:r w:rsidRPr="00CC5EF1">
        <w:rPr>
          <w:rFonts w:ascii="Arial" w:hAnsi="Arial" w:cs="Arial"/>
        </w:rPr>
        <w:t>Tento místní koeficient se vztahuje na všechny vymezené nemovité věci s výjimkou pozemků zařazených do skupiny vybraných zemědělských pozemků, trvalých travních porostů nebo nevyužitelných ostatních ploch.</w:t>
      </w:r>
      <w:r w:rsidRPr="00CC5EF1">
        <w:rPr>
          <w:rStyle w:val="Znakapoznpodarou"/>
          <w:rFonts w:ascii="Arial" w:hAnsi="Arial" w:cs="Arial"/>
        </w:rPr>
        <w:footnoteReference w:id="1"/>
      </w:r>
      <w:r w:rsidR="00DD3431" w:rsidRPr="00CC5EF1">
        <w:rPr>
          <w:rFonts w:ascii="Arial" w:hAnsi="Arial" w:cs="Arial"/>
        </w:rPr>
        <w:t xml:space="preserve"> Výčet vymezených nemovitých věcí, pro které byl stanoven shora uvedený místní koeficient, je obsažen v příloze, která je nedílnou součástí tohoto opatření obecné povahy. </w:t>
      </w:r>
    </w:p>
    <w:p w14:paraId="5B99EB92" w14:textId="77777777" w:rsidR="007013DA" w:rsidRPr="00CC5EF1" w:rsidRDefault="007013DA" w:rsidP="009F4D66">
      <w:pPr>
        <w:spacing w:line="276" w:lineRule="auto"/>
        <w:rPr>
          <w:rFonts w:ascii="Arial" w:hAnsi="Arial" w:cs="Arial"/>
        </w:rPr>
      </w:pPr>
    </w:p>
    <w:p w14:paraId="3AEF1B9A" w14:textId="77777777" w:rsidR="007013DA" w:rsidRPr="00CC5EF1" w:rsidRDefault="007013DA" w:rsidP="009F4D66">
      <w:pPr>
        <w:spacing w:line="276" w:lineRule="auto"/>
        <w:jc w:val="left"/>
        <w:rPr>
          <w:rFonts w:ascii="Arial" w:hAnsi="Arial" w:cs="Arial"/>
          <w:b/>
          <w:szCs w:val="24"/>
        </w:rPr>
      </w:pPr>
      <w:r w:rsidRPr="00EE6652">
        <w:rPr>
          <w:rFonts w:ascii="Arial" w:hAnsi="Arial" w:cs="Arial"/>
          <w:b/>
          <w:szCs w:val="24"/>
        </w:rPr>
        <w:t>Odůvodnění</w:t>
      </w:r>
    </w:p>
    <w:p w14:paraId="280B60B0" w14:textId="77777777" w:rsidR="00F57575" w:rsidRPr="00F57575" w:rsidRDefault="00F57575" w:rsidP="00F13F9C">
      <w:pPr>
        <w:widowControl w:val="0"/>
        <w:spacing w:line="276" w:lineRule="auto"/>
        <w:rPr>
          <w:rFonts w:ascii="Arial" w:hAnsi="Arial" w:cs="Arial"/>
          <w:bCs/>
        </w:rPr>
      </w:pPr>
      <w:r w:rsidRPr="00F57575">
        <w:rPr>
          <w:rFonts w:ascii="Arial" w:hAnsi="Arial" w:cs="Arial"/>
          <w:bCs/>
        </w:rPr>
        <w:t xml:space="preserve">Právní úprava daňových příjmů obcí v České republice je uvedena v zákoně č. 243/2000 Sb., o rozpočtovém určení výnosů některých daní územním samosprávným celkům a některým státním fondům, ve znění pozdějších předpisů (dále též jen „zákon o rozpočtovém určení daní“). Konkrétně ve vztahu k daňovým příjmům obcí upravuje tento zákon rozpočtové určení daně z přidané hodnoty, daní z příjmů a daně z nemovitých věcí. Daňové příjmy obcí a krajů </w:t>
      </w:r>
      <w:r w:rsidRPr="00F57575">
        <w:rPr>
          <w:rFonts w:ascii="Arial" w:hAnsi="Arial" w:cs="Arial"/>
          <w:bCs/>
        </w:rPr>
        <w:lastRenderedPageBreak/>
        <w:t>neuvedené v zákoně o rozpočtovém určení daní upravují zvláštní zákony.</w:t>
      </w:r>
    </w:p>
    <w:p w14:paraId="3F9AF0E4" w14:textId="2E88669B" w:rsidR="00F57575" w:rsidRPr="00F57575" w:rsidRDefault="00F57575" w:rsidP="00F13F9C">
      <w:pPr>
        <w:widowControl w:val="0"/>
        <w:spacing w:line="276" w:lineRule="auto"/>
        <w:rPr>
          <w:rFonts w:ascii="Arial" w:hAnsi="Arial" w:cs="Arial"/>
          <w:bCs/>
        </w:rPr>
      </w:pPr>
      <w:r w:rsidRPr="00F57575">
        <w:rPr>
          <w:rFonts w:ascii="Arial" w:hAnsi="Arial" w:cs="Arial"/>
          <w:bCs/>
        </w:rPr>
        <w:t>Daňové příjmy obcí podle platného znění zákona o rozpočtovém určení daní jsou pak tvořeny podílem na sdílených daních, výlučnými daňovými příjmy a tzv. motivačními prvky. Jedním z</w:t>
      </w:r>
      <w:r w:rsidR="006A7623">
        <w:rPr>
          <w:rFonts w:ascii="Arial" w:hAnsi="Arial" w:cs="Arial"/>
          <w:bCs/>
        </w:rPr>
        <w:t> </w:t>
      </w:r>
      <w:r w:rsidRPr="00F57575">
        <w:rPr>
          <w:rFonts w:ascii="Arial" w:hAnsi="Arial" w:cs="Arial"/>
          <w:bCs/>
        </w:rPr>
        <w:t>výlučných daňových příjmů podle zákona o rozpočtovém určení daní jsou výnosy z daně z</w:t>
      </w:r>
      <w:r w:rsidR="006A7623">
        <w:rPr>
          <w:rFonts w:ascii="Arial" w:hAnsi="Arial" w:cs="Arial"/>
          <w:bCs/>
        </w:rPr>
        <w:t> </w:t>
      </w:r>
      <w:r w:rsidRPr="00F57575">
        <w:rPr>
          <w:rFonts w:ascii="Arial" w:hAnsi="Arial" w:cs="Arial"/>
          <w:bCs/>
        </w:rPr>
        <w:t xml:space="preserve">nemovitostí, která je upravena zákonem o dani z nemovitých věcí. </w:t>
      </w:r>
    </w:p>
    <w:p w14:paraId="58DD3EF9" w14:textId="0A6F9F57" w:rsidR="00F57575" w:rsidRPr="00F57575" w:rsidRDefault="00F57575" w:rsidP="009F4D66">
      <w:pPr>
        <w:spacing w:line="276" w:lineRule="auto"/>
        <w:rPr>
          <w:rFonts w:ascii="Arial" w:hAnsi="Arial" w:cs="Arial"/>
          <w:bCs/>
        </w:rPr>
      </w:pPr>
      <w:r w:rsidRPr="00F57575">
        <w:rPr>
          <w:rFonts w:ascii="Arial" w:hAnsi="Arial" w:cs="Arial"/>
          <w:bCs/>
        </w:rPr>
        <w:t>Sdílené daně se mezi samosprávy rozdělují dle § 4 Zákona o rozpočtovém určen</w:t>
      </w:r>
      <w:r w:rsidR="0015188D">
        <w:rPr>
          <w:rFonts w:ascii="Arial" w:hAnsi="Arial" w:cs="Arial"/>
          <w:bCs/>
        </w:rPr>
        <w:t>í</w:t>
      </w:r>
      <w:r w:rsidRPr="00F57575">
        <w:rPr>
          <w:rFonts w:ascii="Arial" w:hAnsi="Arial" w:cs="Arial"/>
          <w:bCs/>
        </w:rPr>
        <w:t xml:space="preserve"> daní dle počtu obyvatel přihlášených k trvalému pobytu (s koeficientem 0,1) a rozlohy správního území (s koeficientem o řád nižším 0,03). Pokud se ve správním obvodu obce nachází území bez trvale bydlících obyvatel, tak při rozdělování sdílených daní na toto území obec dostává řádově nižší prostředky než na obytná území a smíšená území zahrnující bydlení. Jsou to zároveň provozy, které generují vyšší nároky na veřejnou infrastrukturu jako například výrobní, logistické nebo nákupní areály. </w:t>
      </w:r>
    </w:p>
    <w:p w14:paraId="50929C8B" w14:textId="77408F83" w:rsidR="00F57575" w:rsidRPr="00F57575" w:rsidRDefault="00F57575" w:rsidP="00F115AC">
      <w:pPr>
        <w:spacing w:line="276" w:lineRule="auto"/>
        <w:rPr>
          <w:rFonts w:ascii="Arial" w:hAnsi="Arial" w:cs="Arial"/>
          <w:bCs/>
        </w:rPr>
      </w:pPr>
      <w:r w:rsidRPr="00F57575">
        <w:rPr>
          <w:rFonts w:ascii="Arial" w:hAnsi="Arial" w:cs="Arial"/>
          <w:bCs/>
        </w:rPr>
        <w:t xml:space="preserve">Samospráva má možnost vymezit konkrétní nemovité věci, pro které se stanovuje jiný místní koeficient podle ustanovení § 12 odst. 1 písm. b) Zákona o dani z nemovitých věcí. Možnost obcí zatížit vyšším zdaněním jen určité nemovitosti považuje též Ústavní soud ČR (viz. Nález Ústavního soudu </w:t>
      </w:r>
      <w:proofErr w:type="spellStart"/>
      <w:r w:rsidRPr="00F57575">
        <w:rPr>
          <w:rFonts w:ascii="Arial" w:hAnsi="Arial" w:cs="Arial"/>
          <w:bCs/>
        </w:rPr>
        <w:t>sp</w:t>
      </w:r>
      <w:proofErr w:type="spellEnd"/>
      <w:r w:rsidRPr="00F57575">
        <w:rPr>
          <w:rFonts w:ascii="Arial" w:hAnsi="Arial" w:cs="Arial"/>
          <w:bCs/>
        </w:rPr>
        <w:t xml:space="preserve">. zn. </w:t>
      </w:r>
      <w:proofErr w:type="spellStart"/>
      <w:r w:rsidRPr="00F57575">
        <w:rPr>
          <w:rFonts w:ascii="Arial" w:hAnsi="Arial" w:cs="Arial"/>
          <w:bCs/>
        </w:rPr>
        <w:t>Pl</w:t>
      </w:r>
      <w:proofErr w:type="spellEnd"/>
      <w:r w:rsidRPr="00F57575">
        <w:rPr>
          <w:rFonts w:ascii="Arial" w:hAnsi="Arial" w:cs="Arial"/>
          <w:bCs/>
        </w:rPr>
        <w:t xml:space="preserve">. ÚS 24/23) jako naplnění: </w:t>
      </w:r>
      <w:r w:rsidRPr="00DE79CA">
        <w:rPr>
          <w:rFonts w:ascii="Arial" w:hAnsi="Arial" w:cs="Arial"/>
          <w:bCs/>
          <w:i/>
          <w:iCs/>
        </w:rPr>
        <w:t>„…ústavního principu samosprávy a</w:t>
      </w:r>
      <w:r w:rsidR="006A7623" w:rsidRPr="00DE79CA">
        <w:rPr>
          <w:rFonts w:ascii="Arial" w:hAnsi="Arial" w:cs="Arial"/>
          <w:bCs/>
          <w:i/>
          <w:iCs/>
        </w:rPr>
        <w:t> </w:t>
      </w:r>
      <w:r w:rsidRPr="00DE79CA">
        <w:rPr>
          <w:rFonts w:ascii="Arial" w:hAnsi="Arial" w:cs="Arial"/>
          <w:bCs/>
          <w:i/>
          <w:iCs/>
        </w:rPr>
        <w:t>subsidiarity politické moci (čl. 8 Ústavy).“, když zároveň připomíná, že: „Jsou to totiž právě místní samosprávy, které - oproti „celostátnímu“ normotvůrci - mohou efektivně zajistit, aby výše zdanění nemovitostí skutečně odpovídala negativním externalitám, které jsou spojeny s</w:t>
      </w:r>
      <w:r w:rsidR="006A7623" w:rsidRPr="00DE79CA">
        <w:rPr>
          <w:rFonts w:ascii="Arial" w:hAnsi="Arial" w:cs="Arial"/>
          <w:bCs/>
          <w:i/>
          <w:iCs/>
        </w:rPr>
        <w:t> </w:t>
      </w:r>
      <w:r w:rsidRPr="00DE79CA">
        <w:rPr>
          <w:rFonts w:ascii="Arial" w:hAnsi="Arial" w:cs="Arial"/>
          <w:bCs/>
          <w:i/>
          <w:iCs/>
        </w:rPr>
        <w:t>nemovitostmi v konkrétním místě žití. Jinými slovy, možnost do jisté míry individualizovat výši daní z nemovitosti sleduje účel efektivně zohlednit nerovné zatížení společného prostoru a sdílené infrastruktury v obcích a městech. Takový cíl mohou lépe naplnit právě zástupci místních samospráv, kteří mají k místním poměrům blíže.“</w:t>
      </w:r>
    </w:p>
    <w:p w14:paraId="5B4FBCF4" w14:textId="4B5CD3D7" w:rsidR="00F57575" w:rsidRPr="00F57575" w:rsidRDefault="00F57575" w:rsidP="00F115AC">
      <w:pPr>
        <w:spacing w:line="276" w:lineRule="auto"/>
        <w:rPr>
          <w:rFonts w:ascii="Arial" w:hAnsi="Arial" w:cs="Arial"/>
          <w:bCs/>
        </w:rPr>
      </w:pPr>
      <w:r w:rsidRPr="00F57575">
        <w:rPr>
          <w:rFonts w:ascii="Arial" w:hAnsi="Arial" w:cs="Arial"/>
          <w:bCs/>
        </w:rPr>
        <w:t>Kromě toho, že výběr daně z nemovitostí je ze 100 % příjmem rozpočtu obcí, je daň z</w:t>
      </w:r>
      <w:r w:rsidR="006A7623">
        <w:rPr>
          <w:rFonts w:ascii="Arial" w:hAnsi="Arial" w:cs="Arial"/>
          <w:bCs/>
        </w:rPr>
        <w:t> </w:t>
      </w:r>
      <w:r w:rsidRPr="00F57575">
        <w:rPr>
          <w:rFonts w:ascii="Arial" w:hAnsi="Arial" w:cs="Arial"/>
          <w:bCs/>
        </w:rPr>
        <w:t>nemovitostí také též jediným daňovým příjmem, jehož výnos mohou obce přímo ovlivnit a to prostřednictvím obecně závazných vyhlášek a opatřením obecné povahy vydávaných na základě příslušných zákonných zmocnění upravených v zákoně o dani z nemovitých věcí, kterými lze stanovovat či upravovat koeficienty násobící sazbu daně stanovenou zákonem o dani z nemovitých věcí ovlivňují výši (míru) zdanění nemovitých věcí v obci (tzv. „koeficientů podle počtu obyvatel“ a místních koeficientů). Samotná daň z nemovitých věcí se skládá z</w:t>
      </w:r>
      <w:r w:rsidR="006A7623">
        <w:rPr>
          <w:rFonts w:ascii="Arial" w:hAnsi="Arial" w:cs="Arial"/>
          <w:bCs/>
        </w:rPr>
        <w:t> </w:t>
      </w:r>
      <w:r w:rsidRPr="00F57575">
        <w:rPr>
          <w:rFonts w:ascii="Arial" w:hAnsi="Arial" w:cs="Arial"/>
          <w:bCs/>
        </w:rPr>
        <w:t>daně z pozemků a daně ze staveb a jednotek. Daň se počítá jako násobek výměry nemovitosti s příslušnými sazbami, který se následně ještě vynásobí základním koeficientem dle počtu obyvatel obce a případně obcí stanoveným místním koeficientem.</w:t>
      </w:r>
    </w:p>
    <w:p w14:paraId="29544EE5" w14:textId="49ACFFAA" w:rsidR="00F57575" w:rsidRPr="00F57575" w:rsidRDefault="00F57575" w:rsidP="00F115AC">
      <w:pPr>
        <w:spacing w:line="276" w:lineRule="auto"/>
        <w:rPr>
          <w:rFonts w:ascii="Arial" w:hAnsi="Arial" w:cs="Arial"/>
          <w:bCs/>
        </w:rPr>
      </w:pPr>
      <w:r w:rsidRPr="00F57575">
        <w:rPr>
          <w:rFonts w:ascii="Arial" w:hAnsi="Arial" w:cs="Arial"/>
          <w:bCs/>
        </w:rPr>
        <w:t>V důsledku nabytí účinnosti zákona č. 349/2023 Sb., kterým se mění některé zákony v</w:t>
      </w:r>
      <w:r w:rsidR="006A7623">
        <w:rPr>
          <w:rFonts w:ascii="Arial" w:hAnsi="Arial" w:cs="Arial"/>
          <w:bCs/>
        </w:rPr>
        <w:t> </w:t>
      </w:r>
      <w:r w:rsidRPr="00F57575">
        <w:rPr>
          <w:rFonts w:ascii="Arial" w:hAnsi="Arial" w:cs="Arial"/>
          <w:bCs/>
        </w:rPr>
        <w:t>souvislosti s konsolidací veřejných rozpočtů (konsolidační balíček), dochází k 1. lednu 2025 k významným změnám v zákonných zmocněních pro vydávání obecně závazných vyhlášek upravujících problematiku daně z nemovitých věcí a též k zavedení možnosti stanovení místního koeficientu formou vydání opatření obecné povahy.</w:t>
      </w:r>
    </w:p>
    <w:p w14:paraId="22637053" w14:textId="77777777" w:rsidR="00F57575" w:rsidRPr="00F57575" w:rsidRDefault="00F57575" w:rsidP="00F115AC">
      <w:pPr>
        <w:spacing w:line="276" w:lineRule="auto"/>
        <w:rPr>
          <w:rFonts w:ascii="Arial" w:hAnsi="Arial" w:cs="Arial"/>
          <w:bCs/>
        </w:rPr>
      </w:pPr>
      <w:r w:rsidRPr="00F57575">
        <w:rPr>
          <w:rFonts w:ascii="Arial" w:hAnsi="Arial" w:cs="Arial"/>
          <w:bCs/>
        </w:rPr>
        <w:t xml:space="preserve">Pokud jde o uvedený základní koeficient dle počtu obyvatel upravený v ustanovení § 11 zákona o dani z nemovitých věcí, který ve statutárních městech činí 3,5, ten zůstal, co do své výše uvedené základní struktury a výše konsolidačním balíčkem nezměněn, a to včetně </w:t>
      </w:r>
      <w:r w:rsidRPr="00F57575">
        <w:rPr>
          <w:rFonts w:ascii="Arial" w:hAnsi="Arial" w:cs="Arial"/>
          <w:bCs/>
        </w:rPr>
        <w:lastRenderedPageBreak/>
        <w:t>možnosti obcí stanovit pro jednotlivé části obce obecně závaznou vyhláškou tento koeficient, který je pro ni podle počtu obyvatel stanoven o jednu kategorii vyšší.</w:t>
      </w:r>
    </w:p>
    <w:p w14:paraId="5BD8DE6B" w14:textId="1FD15A38" w:rsidR="00F57575" w:rsidRPr="00F57575" w:rsidRDefault="00F57575" w:rsidP="00F115AC">
      <w:pPr>
        <w:spacing w:line="276" w:lineRule="auto"/>
        <w:rPr>
          <w:rFonts w:ascii="Arial" w:hAnsi="Arial" w:cs="Arial"/>
          <w:bCs/>
        </w:rPr>
      </w:pPr>
      <w:r w:rsidRPr="00F57575">
        <w:rPr>
          <w:rFonts w:ascii="Arial" w:hAnsi="Arial" w:cs="Arial"/>
          <w:bCs/>
        </w:rPr>
        <w:t>S účinností od 1. ledna 2025 však dochází ke komplexní legislativní změně zákonného zmocnění pro stanovování místních koeficientů daně z nemovitých věcí a dále pak ke zrušení možnosti úpravy jednotlivé sazby daně (stanovení koeficientu 1,5, kterým se základní sazba daně násobí – tzv. podnikatelský koeficient) obecně závaznou vyhláškou pro stavby a jednotky sloužící k podnikání, pro rodinnou rekreaci a stavby a jednotky garáží v celé obci a též ke zrušení možnosti obcí stanovit pro jednotlivé části obce obecně závaznou vyhláškou koeficient podle počtu obyvatel o jednu až tři kategorie nižší.</w:t>
      </w:r>
    </w:p>
    <w:p w14:paraId="190B238B" w14:textId="77777777" w:rsidR="00F57575" w:rsidRPr="00F13F9C" w:rsidRDefault="00F57575" w:rsidP="00F115AC">
      <w:pPr>
        <w:spacing w:line="276" w:lineRule="auto"/>
        <w:rPr>
          <w:rFonts w:ascii="Arial" w:hAnsi="Arial" w:cs="Arial"/>
          <w:bCs/>
          <w:u w:val="single"/>
        </w:rPr>
      </w:pPr>
      <w:r w:rsidRPr="00F13F9C">
        <w:rPr>
          <w:rFonts w:ascii="Arial" w:hAnsi="Arial" w:cs="Arial"/>
          <w:bCs/>
          <w:u w:val="single"/>
        </w:rPr>
        <w:t>Daň z nemovitosti v kontextu ostatních daňových příjmů</w:t>
      </w:r>
    </w:p>
    <w:p w14:paraId="5B5F42F1" w14:textId="4A12B7DC" w:rsidR="00F57575" w:rsidRDefault="00F57575" w:rsidP="00B93C1F">
      <w:pPr>
        <w:spacing w:line="276" w:lineRule="auto"/>
        <w:rPr>
          <w:rFonts w:ascii="Arial" w:hAnsi="Arial" w:cs="Arial"/>
          <w:bCs/>
        </w:rPr>
      </w:pPr>
      <w:r w:rsidRPr="00F57575">
        <w:rPr>
          <w:rFonts w:ascii="Arial" w:hAnsi="Arial" w:cs="Arial"/>
          <w:bCs/>
        </w:rPr>
        <w:t>V Jablonci nad Nisou činily v roce 2024 daňové příjmy ze sdílených daní 92 % všech daňových příjmů, příjmy z daně z nemovitosti 4 % všech daňových příjmů a daň z příjmu fyzických osob (ve městě zůstává 24,16 % zde vybrané daně) 21 % všech daňových příjmů. Většinu daňových příjmů tak tvoří daně rozdělované z celostátního výběru dle počtu trvale bydlících obyvatel s</w:t>
      </w:r>
      <w:r w:rsidR="006A7623">
        <w:rPr>
          <w:rFonts w:ascii="Arial" w:hAnsi="Arial" w:cs="Arial"/>
          <w:bCs/>
        </w:rPr>
        <w:t> </w:t>
      </w:r>
      <w:r w:rsidRPr="00F57575">
        <w:rPr>
          <w:rFonts w:ascii="Arial" w:hAnsi="Arial" w:cs="Arial"/>
          <w:bCs/>
        </w:rPr>
        <w:t>drobnou korekcí dle rozlohy správního území. Pro rok 2025 dojde ke zvýšen</w:t>
      </w:r>
      <w:r w:rsidR="0015188D">
        <w:rPr>
          <w:rFonts w:ascii="Arial" w:hAnsi="Arial" w:cs="Arial"/>
          <w:bCs/>
        </w:rPr>
        <w:t>í</w:t>
      </w:r>
      <w:r w:rsidRPr="00F57575">
        <w:rPr>
          <w:rFonts w:ascii="Arial" w:hAnsi="Arial" w:cs="Arial"/>
          <w:bCs/>
        </w:rPr>
        <w:t xml:space="preserve"> daně z</w:t>
      </w:r>
      <w:r w:rsidR="006A7623">
        <w:rPr>
          <w:rFonts w:ascii="Arial" w:hAnsi="Arial" w:cs="Arial"/>
          <w:bCs/>
        </w:rPr>
        <w:t> </w:t>
      </w:r>
      <w:r w:rsidRPr="00F57575">
        <w:rPr>
          <w:rFonts w:ascii="Arial" w:hAnsi="Arial" w:cs="Arial"/>
          <w:bCs/>
        </w:rPr>
        <w:t>nemovitosti, ta by nově měla činit cca 8 % z daňových příjmů.</w:t>
      </w:r>
    </w:p>
    <w:p w14:paraId="1275BF96" w14:textId="77777777" w:rsidR="00F57575" w:rsidRPr="00F13F9C" w:rsidRDefault="00F57575" w:rsidP="00B93C1F">
      <w:pPr>
        <w:spacing w:line="276" w:lineRule="auto"/>
        <w:rPr>
          <w:rFonts w:ascii="Arial" w:hAnsi="Arial" w:cs="Arial"/>
          <w:bCs/>
          <w:u w:val="single"/>
        </w:rPr>
      </w:pPr>
      <w:r w:rsidRPr="00F13F9C">
        <w:rPr>
          <w:rFonts w:ascii="Arial" w:hAnsi="Arial" w:cs="Arial"/>
          <w:bCs/>
          <w:u w:val="single"/>
        </w:rPr>
        <w:t>Stávající nastavení daně z nemovitosti ve Statutárním městě Jablonec nad Nisou</w:t>
      </w:r>
    </w:p>
    <w:p w14:paraId="1E5F3D49" w14:textId="77777777" w:rsidR="00F57575" w:rsidRPr="00F57575" w:rsidRDefault="00F57575" w:rsidP="00B93C1F">
      <w:pPr>
        <w:spacing w:line="276" w:lineRule="auto"/>
        <w:rPr>
          <w:rFonts w:ascii="Arial" w:hAnsi="Arial" w:cs="Arial"/>
          <w:bCs/>
        </w:rPr>
      </w:pPr>
      <w:r w:rsidRPr="00F57575">
        <w:rPr>
          <w:rFonts w:ascii="Arial" w:hAnsi="Arial" w:cs="Arial"/>
          <w:bCs/>
        </w:rPr>
        <w:t>Pro Statutární město Jablonec nad Nisou platí základní koeficient dle počtu obyvatel upravený v ustanovení § 11 zákona o dani z nemovitých věcí, který ve statutárních městech činí 3,5.</w:t>
      </w:r>
    </w:p>
    <w:p w14:paraId="46BECB59" w14:textId="38EFB3E6" w:rsidR="00F57575" w:rsidRPr="00F57575" w:rsidRDefault="00F57575" w:rsidP="00B93C1F">
      <w:pPr>
        <w:spacing w:line="276" w:lineRule="auto"/>
        <w:rPr>
          <w:rFonts w:ascii="Arial" w:hAnsi="Arial" w:cs="Arial"/>
          <w:bCs/>
        </w:rPr>
      </w:pPr>
      <w:r w:rsidRPr="00F57575">
        <w:rPr>
          <w:rFonts w:ascii="Arial" w:hAnsi="Arial" w:cs="Arial"/>
          <w:bCs/>
        </w:rPr>
        <w:t xml:space="preserve">Místní koeficient byl vyhláškou v roce 2024 pro rok 2025 stanoven na hodnotu 2,0. V rámci srovnání s dalšími statutárními městy se jedná o </w:t>
      </w:r>
      <w:r w:rsidR="00B93C1F">
        <w:rPr>
          <w:rFonts w:ascii="Arial" w:hAnsi="Arial" w:cs="Arial"/>
          <w:bCs/>
        </w:rPr>
        <w:t>obvyklou</w:t>
      </w:r>
      <w:r w:rsidRPr="00F57575">
        <w:rPr>
          <w:rFonts w:ascii="Arial" w:hAnsi="Arial" w:cs="Arial"/>
          <w:bCs/>
        </w:rPr>
        <w:t xml:space="preserve"> hodnotu.</w:t>
      </w:r>
    </w:p>
    <w:p w14:paraId="73E1625D" w14:textId="33F21C84" w:rsidR="00F57575" w:rsidRDefault="00B93C1F" w:rsidP="00B93C1F">
      <w:pPr>
        <w:spacing w:line="276" w:lineRule="auto"/>
        <w:rPr>
          <w:rFonts w:ascii="Arial" w:hAnsi="Arial" w:cs="Arial"/>
          <w:bCs/>
        </w:rPr>
      </w:pPr>
      <w:r>
        <w:rPr>
          <w:rFonts w:ascii="Arial" w:hAnsi="Arial" w:cs="Arial"/>
          <w:bCs/>
        </w:rPr>
        <w:t>Vyhláškou n</w:t>
      </w:r>
      <w:r w:rsidR="00F57575" w:rsidRPr="00F57575">
        <w:rPr>
          <w:rFonts w:ascii="Arial" w:hAnsi="Arial" w:cs="Arial"/>
          <w:bCs/>
        </w:rPr>
        <w:t>ebyly stanoveny koeficienty pro skupiny pozemků. Důvodem je stav katastru nemovitostí, který v řadě případů neodráží skutečné využití pozemku a budovy.</w:t>
      </w:r>
    </w:p>
    <w:p w14:paraId="77E08ECF" w14:textId="28877EC0" w:rsidR="00EE6652" w:rsidRPr="00EE6652" w:rsidRDefault="00EE6652" w:rsidP="00B93C1F">
      <w:pPr>
        <w:spacing w:line="276" w:lineRule="auto"/>
        <w:rPr>
          <w:rFonts w:ascii="Arial" w:hAnsi="Arial" w:cs="Arial"/>
          <w:bCs/>
        </w:rPr>
      </w:pPr>
      <w:r w:rsidRPr="00EE6652">
        <w:rPr>
          <w:rFonts w:ascii="Arial" w:hAnsi="Arial" w:cs="Arial"/>
          <w:bCs/>
        </w:rPr>
        <w:t>Statutární město Jablonec nad Nisou opatřením obecné povahy individualizuje výši daně z</w:t>
      </w:r>
      <w:r w:rsidR="005026E9">
        <w:rPr>
          <w:rFonts w:ascii="Arial" w:hAnsi="Arial" w:cs="Arial"/>
          <w:bCs/>
        </w:rPr>
        <w:t> </w:t>
      </w:r>
      <w:r w:rsidRPr="00EE6652">
        <w:rPr>
          <w:rFonts w:ascii="Arial" w:hAnsi="Arial" w:cs="Arial"/>
          <w:bCs/>
        </w:rPr>
        <w:t>nemovitých věcí tak, aby bylo zohledněno nerovné zatížení společného prostoru prostředí města a sdílené veřejné infrastruktury. Z tohoto důvodu jsou vyšší daní zatíženy nemovitosti, jejichž užívání je přímým či nepřímým původcem zvýšené zátěže životního prostředí a</w:t>
      </w:r>
      <w:r w:rsidR="005026E9">
        <w:rPr>
          <w:rFonts w:ascii="Arial" w:hAnsi="Arial" w:cs="Arial"/>
          <w:bCs/>
        </w:rPr>
        <w:t> </w:t>
      </w:r>
      <w:r w:rsidRPr="00EE6652">
        <w:rPr>
          <w:rFonts w:ascii="Arial" w:hAnsi="Arial" w:cs="Arial"/>
          <w:bCs/>
        </w:rPr>
        <w:t>dopravní a technické infrastruktury města (emise, hluk, prach, otřesy, zvýšená intenzita dopravy, zvýšený odtok, vliv na tepelný ostrov města apod.).</w:t>
      </w:r>
    </w:p>
    <w:p w14:paraId="2EBC882B" w14:textId="2C5EEA6F" w:rsidR="00B07344" w:rsidRPr="00F13F9C" w:rsidRDefault="00B07344" w:rsidP="00B93C1F">
      <w:pPr>
        <w:spacing w:line="276" w:lineRule="auto"/>
        <w:rPr>
          <w:rFonts w:ascii="Arial" w:hAnsi="Arial" w:cs="Arial"/>
          <w:bCs/>
          <w:u w:val="single"/>
        </w:rPr>
      </w:pPr>
      <w:bookmarkStart w:id="0" w:name="_Hlk193959430"/>
      <w:r w:rsidRPr="00F13F9C">
        <w:rPr>
          <w:rFonts w:ascii="Arial" w:hAnsi="Arial" w:cs="Arial"/>
          <w:bCs/>
          <w:u w:val="single"/>
        </w:rPr>
        <w:t xml:space="preserve">Vymezení dotčených nemovitostí: </w:t>
      </w:r>
      <w:bookmarkEnd w:id="0"/>
      <w:r w:rsidRPr="00F13F9C">
        <w:rPr>
          <w:rFonts w:ascii="Arial" w:hAnsi="Arial" w:cs="Arial"/>
          <w:bCs/>
          <w:u w:val="single"/>
        </w:rPr>
        <w:t>Kapacitní obchodní stavby</w:t>
      </w:r>
    </w:p>
    <w:p w14:paraId="4B16CE8E" w14:textId="0B4140CC" w:rsidR="00EE6652" w:rsidRPr="00EE6652" w:rsidRDefault="00EE6652" w:rsidP="00B93C1F">
      <w:pPr>
        <w:spacing w:line="276" w:lineRule="auto"/>
        <w:rPr>
          <w:rFonts w:ascii="Arial" w:hAnsi="Arial" w:cs="Arial"/>
          <w:bCs/>
        </w:rPr>
      </w:pPr>
      <w:r w:rsidRPr="00EE6652">
        <w:rPr>
          <w:rFonts w:ascii="Arial" w:hAnsi="Arial" w:cs="Arial"/>
          <w:bCs/>
        </w:rPr>
        <w:t>Toto opatření obecné povahy se zaměřuje na obchodní stavby, jejichž užívání generuje následující negativní dopady a externality</w:t>
      </w:r>
      <w:r w:rsidR="00D3592F">
        <w:rPr>
          <w:rFonts w:ascii="Arial" w:hAnsi="Arial" w:cs="Arial"/>
          <w:bCs/>
        </w:rPr>
        <w:t>,</w:t>
      </w:r>
      <w:r w:rsidRPr="00EE6652">
        <w:rPr>
          <w:rFonts w:ascii="Arial" w:hAnsi="Arial" w:cs="Arial"/>
          <w:bCs/>
        </w:rPr>
        <w:t xml:space="preserve"> aniž je kompenzuje:</w:t>
      </w:r>
    </w:p>
    <w:p w14:paraId="44FEF327" w14:textId="42FB08CA" w:rsidR="00EE6652" w:rsidRPr="0055453F" w:rsidRDefault="00EE6652" w:rsidP="0055453F">
      <w:pPr>
        <w:pStyle w:val="Odstavecseseznamem"/>
        <w:numPr>
          <w:ilvl w:val="0"/>
          <w:numId w:val="4"/>
        </w:numPr>
        <w:spacing w:line="276" w:lineRule="auto"/>
        <w:ind w:left="709" w:hanging="349"/>
        <w:rPr>
          <w:rFonts w:ascii="Arial" w:hAnsi="Arial" w:cs="Arial"/>
          <w:bCs/>
        </w:rPr>
      </w:pPr>
      <w:r w:rsidRPr="0055453F">
        <w:rPr>
          <w:rFonts w:ascii="Arial" w:hAnsi="Arial" w:cs="Arial"/>
          <w:bCs/>
        </w:rPr>
        <w:t>zvýšená individuální automobilová doprava způsobená mimo jiné i polohou mimo hlavní linky veřejné dopravy pěší a dostupnost hlavních obytných čtvrtí a centra města,</w:t>
      </w:r>
    </w:p>
    <w:p w14:paraId="03C309A5" w14:textId="6D60A85C" w:rsidR="00EE6652" w:rsidRPr="0055453F" w:rsidRDefault="00EE6652" w:rsidP="0055453F">
      <w:pPr>
        <w:pStyle w:val="Odstavecseseznamem"/>
        <w:numPr>
          <w:ilvl w:val="0"/>
          <w:numId w:val="4"/>
        </w:numPr>
        <w:spacing w:line="276" w:lineRule="auto"/>
        <w:ind w:left="709" w:hanging="349"/>
        <w:rPr>
          <w:rFonts w:ascii="Arial" w:hAnsi="Arial" w:cs="Arial"/>
          <w:bCs/>
        </w:rPr>
      </w:pPr>
      <w:r w:rsidRPr="0055453F">
        <w:rPr>
          <w:rFonts w:ascii="Arial" w:hAnsi="Arial" w:cs="Arial"/>
          <w:bCs/>
        </w:rPr>
        <w:t>zhoršená sociální kontrola v centru města způsobená odlivem obchodů z centra,</w:t>
      </w:r>
    </w:p>
    <w:p w14:paraId="6C55B6B0" w14:textId="0C5A5889" w:rsidR="00EE6652" w:rsidRPr="0055453F" w:rsidRDefault="00EE6652" w:rsidP="0055453F">
      <w:pPr>
        <w:pStyle w:val="Odstavecseseznamem"/>
        <w:numPr>
          <w:ilvl w:val="0"/>
          <w:numId w:val="4"/>
        </w:numPr>
        <w:spacing w:line="276" w:lineRule="auto"/>
        <w:ind w:left="709" w:hanging="349"/>
        <w:rPr>
          <w:rFonts w:ascii="Arial" w:hAnsi="Arial" w:cs="Arial"/>
          <w:bCs/>
        </w:rPr>
      </w:pPr>
      <w:r w:rsidRPr="0055453F">
        <w:rPr>
          <w:rFonts w:ascii="Arial" w:hAnsi="Arial" w:cs="Arial"/>
          <w:bCs/>
        </w:rPr>
        <w:t xml:space="preserve">zvýšený odtok srážkové vody z rozsáhlých střech hal zpevněných ploch zhoršující vodní režim a </w:t>
      </w:r>
    </w:p>
    <w:p w14:paraId="2F4E5D2C" w14:textId="4F0A9161" w:rsidR="00EE6652" w:rsidRPr="0055453F" w:rsidRDefault="00EE6652" w:rsidP="0055453F">
      <w:pPr>
        <w:pStyle w:val="Odstavecseseznamem"/>
        <w:numPr>
          <w:ilvl w:val="0"/>
          <w:numId w:val="4"/>
        </w:numPr>
        <w:spacing w:line="276" w:lineRule="auto"/>
        <w:ind w:left="709" w:hanging="349"/>
        <w:rPr>
          <w:rFonts w:ascii="Arial" w:hAnsi="Arial" w:cs="Arial"/>
          <w:bCs/>
        </w:rPr>
      </w:pPr>
      <w:r w:rsidRPr="0055453F">
        <w:rPr>
          <w:rFonts w:ascii="Arial" w:hAnsi="Arial" w:cs="Arial"/>
          <w:bCs/>
        </w:rPr>
        <w:t>zvýšený vliv na tepelný ostrov města (většina uvedených ploch se přehřívá v létě více než centrum města).</w:t>
      </w:r>
    </w:p>
    <w:p w14:paraId="0972F22E" w14:textId="487EAC4E" w:rsidR="00EE6652" w:rsidRPr="00EE6652" w:rsidRDefault="00EE6652" w:rsidP="00F115AC">
      <w:pPr>
        <w:spacing w:line="276" w:lineRule="auto"/>
        <w:rPr>
          <w:rFonts w:ascii="Arial" w:hAnsi="Arial" w:cs="Arial"/>
          <w:bCs/>
        </w:rPr>
      </w:pPr>
      <w:r w:rsidRPr="00EE6652">
        <w:rPr>
          <w:rFonts w:ascii="Arial" w:hAnsi="Arial" w:cs="Arial"/>
          <w:bCs/>
        </w:rPr>
        <w:lastRenderedPageBreak/>
        <w:t>Za nemovitosti, jejichž užívání generuje zvýšenou zátěž životního prostředí a dopravní a</w:t>
      </w:r>
      <w:r w:rsidR="005026E9">
        <w:rPr>
          <w:rFonts w:ascii="Arial" w:hAnsi="Arial" w:cs="Arial"/>
          <w:bCs/>
        </w:rPr>
        <w:t> </w:t>
      </w:r>
      <w:r w:rsidRPr="00EE6652">
        <w:rPr>
          <w:rFonts w:ascii="Arial" w:hAnsi="Arial" w:cs="Arial"/>
          <w:bCs/>
        </w:rPr>
        <w:t xml:space="preserve">technické </w:t>
      </w:r>
      <w:r w:rsidRPr="00DE79CA">
        <w:rPr>
          <w:rFonts w:ascii="Arial" w:hAnsi="Arial" w:cs="Arial"/>
          <w:bCs/>
        </w:rPr>
        <w:t xml:space="preserve">infrastruktury města jsou v tomto opatření obecné povahy považovány obchodní stavby nad </w:t>
      </w:r>
      <w:r w:rsidR="00DE79CA" w:rsidRPr="00DE79CA">
        <w:rPr>
          <w:rFonts w:ascii="Arial" w:hAnsi="Arial" w:cs="Arial"/>
          <w:bCs/>
        </w:rPr>
        <w:t>1000</w:t>
      </w:r>
      <w:r w:rsidR="00F13F9C">
        <w:rPr>
          <w:rFonts w:ascii="Arial" w:hAnsi="Arial" w:cs="Arial"/>
          <w:bCs/>
        </w:rPr>
        <w:t xml:space="preserve"> </w:t>
      </w:r>
      <w:r w:rsidRPr="00DE79CA">
        <w:rPr>
          <w:rFonts w:ascii="Arial" w:hAnsi="Arial" w:cs="Arial"/>
          <w:bCs/>
        </w:rPr>
        <w:t>m</w:t>
      </w:r>
      <w:r w:rsidRPr="00DE79CA">
        <w:rPr>
          <w:rFonts w:ascii="Arial" w:hAnsi="Arial" w:cs="Arial"/>
          <w:bCs/>
          <w:vertAlign w:val="superscript"/>
        </w:rPr>
        <w:t>2</w:t>
      </w:r>
      <w:r w:rsidR="008753B9">
        <w:rPr>
          <w:rFonts w:ascii="Arial" w:hAnsi="Arial" w:cs="Arial"/>
          <w:bCs/>
        </w:rPr>
        <w:t xml:space="preserve"> vyjma těch, které leží v těsném sousedství zástavby bytových domů s deficitem parkování a umožňují jejich obyvatelům využívat svá parkovací místa ve večerních a nočních hodinách za shodných podmínek jako ve veřejných prostranstvích a tím zajišťují svému okolí infrastrukturní službu.</w:t>
      </w:r>
    </w:p>
    <w:p w14:paraId="04B5B453" w14:textId="77777777" w:rsidR="00F115AC" w:rsidRPr="00CC5EF1" w:rsidRDefault="00F115AC" w:rsidP="007013DA">
      <w:pPr>
        <w:keepNext/>
        <w:spacing w:line="276" w:lineRule="auto"/>
        <w:rPr>
          <w:rFonts w:ascii="Arial" w:hAnsi="Arial" w:cs="Arial"/>
          <w:b/>
        </w:rPr>
      </w:pPr>
    </w:p>
    <w:p w14:paraId="1CA9021F" w14:textId="77777777" w:rsidR="007013DA" w:rsidRPr="00CC5EF1" w:rsidRDefault="007013DA" w:rsidP="007013DA">
      <w:pPr>
        <w:keepNext/>
        <w:spacing w:line="276" w:lineRule="auto"/>
        <w:jc w:val="left"/>
        <w:rPr>
          <w:rFonts w:ascii="Arial" w:hAnsi="Arial" w:cs="Arial"/>
          <w:b/>
        </w:rPr>
      </w:pPr>
      <w:r w:rsidRPr="00CC5EF1">
        <w:rPr>
          <w:rFonts w:ascii="Arial" w:hAnsi="Arial" w:cs="Arial"/>
          <w:b/>
        </w:rPr>
        <w:t>Poučení</w:t>
      </w:r>
    </w:p>
    <w:p w14:paraId="1AC32C97" w14:textId="1CC2A305" w:rsidR="007013DA" w:rsidRDefault="007013DA" w:rsidP="007013DA">
      <w:pPr>
        <w:spacing w:line="276" w:lineRule="auto"/>
        <w:rPr>
          <w:rFonts w:ascii="Arial" w:hAnsi="Arial" w:cs="Arial"/>
        </w:rPr>
      </w:pPr>
      <w:r w:rsidRPr="00CC5EF1">
        <w:rPr>
          <w:rFonts w:ascii="Arial" w:hAnsi="Arial" w:cs="Arial"/>
        </w:rPr>
        <w:t xml:space="preserve">Proti opatření obecné povahy nelze podle § 173 odst. 2 správního řádu podat opravný prostředek. Do opatření obecné povahy a jeho odůvodnění může podle § 173 odst. 1 správního řádu každý nahlédnout u obecního/městského úřadu, který opatření obecné povahy vydal. </w:t>
      </w:r>
    </w:p>
    <w:p w14:paraId="33C7F3DA" w14:textId="77777777" w:rsidR="006E066B" w:rsidRPr="00CC5EF1" w:rsidRDefault="006E066B" w:rsidP="007013DA">
      <w:pPr>
        <w:spacing w:line="276" w:lineRule="auto"/>
        <w:rPr>
          <w:rFonts w:ascii="Arial" w:hAnsi="Arial" w:cs="Arial"/>
        </w:rPr>
      </w:pPr>
    </w:p>
    <w:p w14:paraId="4C9261B7" w14:textId="036091DA" w:rsidR="007013DA" w:rsidRPr="00CC5EF1" w:rsidRDefault="007013DA" w:rsidP="00F115AC">
      <w:pPr>
        <w:spacing w:line="276" w:lineRule="auto"/>
        <w:jc w:val="left"/>
        <w:rPr>
          <w:rFonts w:ascii="Arial" w:hAnsi="Arial" w:cs="Arial"/>
          <w:color w:val="FF0000"/>
          <w:sz w:val="20"/>
          <w:szCs w:val="20"/>
        </w:rPr>
      </w:pPr>
      <w:r w:rsidRPr="00CC5EF1">
        <w:rPr>
          <w:rFonts w:ascii="Arial" w:hAnsi="Arial" w:cs="Arial"/>
          <w:b/>
        </w:rPr>
        <w:t>Účinnost</w:t>
      </w:r>
    </w:p>
    <w:p w14:paraId="26BB808D" w14:textId="1718FF77" w:rsidR="007013DA" w:rsidRPr="00CC5EF1" w:rsidRDefault="007013DA" w:rsidP="00F115AC">
      <w:pPr>
        <w:spacing w:line="276" w:lineRule="auto"/>
        <w:rPr>
          <w:rFonts w:ascii="Arial" w:hAnsi="Arial" w:cs="Arial"/>
        </w:rPr>
      </w:pPr>
      <w:r w:rsidRPr="00CC5EF1">
        <w:rPr>
          <w:rFonts w:ascii="Arial" w:hAnsi="Arial" w:cs="Arial"/>
        </w:rPr>
        <w:t>T</w:t>
      </w:r>
      <w:r w:rsidR="00277EE8" w:rsidRPr="00CC5EF1">
        <w:rPr>
          <w:rFonts w:ascii="Arial" w:hAnsi="Arial" w:cs="Arial"/>
        </w:rPr>
        <w:t>o</w:t>
      </w:r>
      <w:r w:rsidRPr="00CC5EF1">
        <w:rPr>
          <w:rFonts w:ascii="Arial" w:hAnsi="Arial" w:cs="Arial"/>
        </w:rPr>
        <w:t xml:space="preserve">to opatření obecné povahy nabývá účinnosti v souladu s § 173 odst. 1 správního řádu patnáctým dnem po dni vyvěšení veřejné vyhlášky. </w:t>
      </w:r>
    </w:p>
    <w:p w14:paraId="023F5740" w14:textId="77777777" w:rsidR="007013DA" w:rsidRPr="00CC5EF1" w:rsidRDefault="007013DA" w:rsidP="00F13F9C">
      <w:pPr>
        <w:spacing w:line="276" w:lineRule="auto"/>
        <w:rPr>
          <w:rFonts w:ascii="Arial" w:hAnsi="Arial" w:cs="Arial"/>
        </w:rPr>
      </w:pPr>
    </w:p>
    <w:p w14:paraId="5302E44D" w14:textId="53DC409D" w:rsidR="007013DA" w:rsidRPr="00F13F9C" w:rsidRDefault="007013DA" w:rsidP="007013DA">
      <w:pPr>
        <w:spacing w:line="276" w:lineRule="auto"/>
        <w:rPr>
          <w:rFonts w:ascii="Arial" w:hAnsi="Arial" w:cs="Arial"/>
          <w:b/>
          <w:bCs/>
        </w:rPr>
      </w:pPr>
      <w:r w:rsidRPr="00F13F9C">
        <w:rPr>
          <w:rFonts w:ascii="Arial" w:hAnsi="Arial" w:cs="Arial"/>
          <w:b/>
          <w:bCs/>
        </w:rPr>
        <w:t>Příloha</w:t>
      </w:r>
      <w:r w:rsidR="00CC5EF1" w:rsidRPr="00F13F9C">
        <w:rPr>
          <w:rFonts w:ascii="Arial" w:hAnsi="Arial" w:cs="Arial"/>
          <w:b/>
          <w:bCs/>
        </w:rPr>
        <w:t>:</w:t>
      </w:r>
    </w:p>
    <w:p w14:paraId="5C65D725" w14:textId="5E0DC9CE" w:rsidR="00EC40AB" w:rsidRPr="00EC40AB" w:rsidRDefault="00EC40AB" w:rsidP="007013DA">
      <w:pPr>
        <w:spacing w:line="276" w:lineRule="auto"/>
        <w:rPr>
          <w:rFonts w:ascii="Arial" w:hAnsi="Arial" w:cs="Arial"/>
        </w:rPr>
      </w:pPr>
      <w:r w:rsidRPr="00EC40AB">
        <w:rPr>
          <w:rFonts w:ascii="Arial" w:hAnsi="Arial" w:cs="Arial"/>
        </w:rPr>
        <w:t>Pozemky katastru nemovitostí (stavební parcely mají před parcelním číslem uvedeno „st.“) včetně zdanitelných staveb a jednotek na nich umístěných s uvedeným číslem popisným</w:t>
      </w:r>
      <w:r>
        <w:rPr>
          <w:rFonts w:ascii="Arial" w:hAnsi="Arial" w:cs="Arial"/>
        </w:rPr>
        <w:t>.</w:t>
      </w:r>
    </w:p>
    <w:p w14:paraId="30FD44B4" w14:textId="77777777" w:rsidR="007013DA" w:rsidRDefault="007013DA" w:rsidP="007013DA">
      <w:pPr>
        <w:spacing w:line="276" w:lineRule="auto"/>
        <w:rPr>
          <w:rFonts w:ascii="Arial" w:hAnsi="Arial" w:cs="Arial"/>
        </w:rPr>
      </w:pPr>
    </w:p>
    <w:p w14:paraId="09776AF1" w14:textId="77777777" w:rsidR="0097355F" w:rsidRDefault="0097355F" w:rsidP="007013DA">
      <w:pPr>
        <w:spacing w:line="276" w:lineRule="auto"/>
        <w:rPr>
          <w:rFonts w:ascii="Arial" w:hAnsi="Arial" w:cs="Arial"/>
        </w:rPr>
      </w:pPr>
    </w:p>
    <w:p w14:paraId="08ECD531" w14:textId="77777777" w:rsidR="006E066B" w:rsidRPr="00CC5EF1" w:rsidRDefault="006E066B" w:rsidP="007013DA">
      <w:pPr>
        <w:spacing w:line="276" w:lineRule="auto"/>
        <w:rPr>
          <w:rFonts w:ascii="Arial" w:hAnsi="Arial" w:cs="Arial"/>
        </w:rPr>
      </w:pPr>
    </w:p>
    <w:p w14:paraId="7F4178FD" w14:textId="77777777" w:rsidR="007013DA" w:rsidRPr="00CC5EF1" w:rsidRDefault="007013DA" w:rsidP="007013DA">
      <w:pPr>
        <w:spacing w:line="276" w:lineRule="auto"/>
        <w:rPr>
          <w:rFonts w:ascii="Arial" w:hAnsi="Arial" w:cs="Arial"/>
        </w:rPr>
      </w:pPr>
    </w:p>
    <w:p w14:paraId="5EC24B23" w14:textId="26981F2B" w:rsidR="00F51CA8" w:rsidRPr="00CC5EF1" w:rsidRDefault="007013DA" w:rsidP="006E066B">
      <w:pPr>
        <w:keepNext/>
        <w:spacing w:line="276" w:lineRule="auto"/>
        <w:rPr>
          <w:rFonts w:ascii="Arial" w:hAnsi="Arial" w:cs="Arial"/>
        </w:rPr>
      </w:pPr>
      <w:r w:rsidRPr="00CC5EF1">
        <w:rPr>
          <w:rFonts w:ascii="Arial" w:hAnsi="Arial" w:cs="Arial"/>
        </w:rPr>
        <w:t xml:space="preserve">Vyvěšeno dne … </w:t>
      </w:r>
      <w:r w:rsidR="006E066B">
        <w:rPr>
          <w:rFonts w:ascii="Arial" w:hAnsi="Arial" w:cs="Arial"/>
        </w:rPr>
        <w:tab/>
      </w:r>
      <w:r w:rsidR="006E066B">
        <w:rPr>
          <w:rFonts w:ascii="Arial" w:hAnsi="Arial" w:cs="Arial"/>
        </w:rPr>
        <w:tab/>
      </w:r>
      <w:r w:rsidR="006E066B">
        <w:rPr>
          <w:rFonts w:ascii="Arial" w:hAnsi="Arial" w:cs="Arial"/>
        </w:rPr>
        <w:tab/>
      </w:r>
      <w:r w:rsidR="006E066B">
        <w:rPr>
          <w:rFonts w:ascii="Arial" w:hAnsi="Arial" w:cs="Arial"/>
        </w:rPr>
        <w:tab/>
      </w:r>
      <w:r w:rsidR="006E066B">
        <w:rPr>
          <w:rFonts w:ascii="Arial" w:hAnsi="Arial" w:cs="Arial"/>
        </w:rPr>
        <w:tab/>
      </w:r>
      <w:r w:rsidR="006E066B">
        <w:rPr>
          <w:rFonts w:ascii="Arial" w:hAnsi="Arial" w:cs="Arial"/>
        </w:rPr>
        <w:tab/>
      </w:r>
      <w:r w:rsidR="00F51CA8" w:rsidRPr="00CC5EF1">
        <w:rPr>
          <w:rFonts w:ascii="Arial" w:hAnsi="Arial" w:cs="Arial"/>
        </w:rPr>
        <w:t>Sejmuto dne …</w:t>
      </w:r>
    </w:p>
    <w:p w14:paraId="291A3757" w14:textId="77777777" w:rsidR="004F5FEF" w:rsidRDefault="004F5FEF" w:rsidP="00F51CA8">
      <w:pPr>
        <w:keepNext/>
        <w:spacing w:line="276" w:lineRule="auto"/>
        <w:jc w:val="center"/>
        <w:rPr>
          <w:rFonts w:ascii="Arial" w:hAnsi="Arial" w:cs="Arial"/>
        </w:rPr>
      </w:pPr>
    </w:p>
    <w:p w14:paraId="329E10D2" w14:textId="77777777" w:rsidR="004F5FEF" w:rsidRDefault="004F5FEF" w:rsidP="00F51CA8">
      <w:pPr>
        <w:keepNext/>
        <w:spacing w:line="276" w:lineRule="auto"/>
        <w:jc w:val="center"/>
        <w:rPr>
          <w:rFonts w:ascii="Arial" w:hAnsi="Arial" w:cs="Arial"/>
        </w:rPr>
      </w:pPr>
    </w:p>
    <w:p w14:paraId="6B67FE82" w14:textId="77777777" w:rsidR="004F5FEF" w:rsidRDefault="004F5FEF" w:rsidP="00F51CA8">
      <w:pPr>
        <w:keepNext/>
        <w:spacing w:line="276" w:lineRule="auto"/>
        <w:jc w:val="center"/>
        <w:rPr>
          <w:rFonts w:ascii="Arial" w:hAnsi="Arial" w:cs="Arial"/>
        </w:rPr>
      </w:pPr>
    </w:p>
    <w:p w14:paraId="727C0333" w14:textId="36F6C0A9" w:rsidR="004F5FEF" w:rsidRDefault="004F5FEF" w:rsidP="00F51CA8">
      <w:pPr>
        <w:keepNext/>
        <w:spacing w:line="276" w:lineRule="auto"/>
        <w:jc w:val="center"/>
        <w:rPr>
          <w:rFonts w:ascii="Arial" w:hAnsi="Arial" w:cs="Arial"/>
        </w:rPr>
      </w:pPr>
      <w:r>
        <w:rPr>
          <w:rFonts w:ascii="Arial" w:hAnsi="Arial" w:cs="Arial"/>
        </w:rPr>
        <w:t>………………………………………….</w:t>
      </w:r>
    </w:p>
    <w:p w14:paraId="408C974F" w14:textId="13EB2D79" w:rsidR="00F51CA8" w:rsidRDefault="004F5FEF" w:rsidP="00F51CA8">
      <w:pPr>
        <w:keepNext/>
        <w:spacing w:line="276" w:lineRule="auto"/>
        <w:jc w:val="center"/>
        <w:rPr>
          <w:rFonts w:ascii="Arial" w:hAnsi="Arial" w:cs="Arial"/>
        </w:rPr>
      </w:pPr>
      <w:r>
        <w:rPr>
          <w:rFonts w:ascii="Arial" w:hAnsi="Arial" w:cs="Arial"/>
        </w:rPr>
        <w:t>Ing. Miloš Vele</w:t>
      </w:r>
    </w:p>
    <w:p w14:paraId="6197356E" w14:textId="50B333DB" w:rsidR="004F5FEF" w:rsidRPr="00CC5EF1" w:rsidRDefault="004F5FEF" w:rsidP="00F51CA8">
      <w:pPr>
        <w:keepNext/>
        <w:spacing w:line="276" w:lineRule="auto"/>
        <w:jc w:val="center"/>
        <w:rPr>
          <w:rFonts w:ascii="Arial" w:hAnsi="Arial" w:cs="Arial"/>
        </w:rPr>
      </w:pPr>
      <w:r>
        <w:rPr>
          <w:rFonts w:ascii="Arial" w:hAnsi="Arial" w:cs="Arial"/>
        </w:rPr>
        <w:t>primátor</w:t>
      </w:r>
    </w:p>
    <w:p w14:paraId="452F5C1B" w14:textId="58DC225A" w:rsidR="00DE79CA" w:rsidRDefault="00DE79CA">
      <w:pPr>
        <w:spacing w:after="0"/>
        <w:rPr>
          <w:rFonts w:ascii="Arial" w:hAnsi="Arial" w:cs="Arial"/>
        </w:rPr>
      </w:pPr>
    </w:p>
    <w:sectPr w:rsidR="00DE79CA" w:rsidSect="00F13F9C">
      <w:footerReference w:type="default" r:id="rId9"/>
      <w:footnotePr>
        <w:numRestart w:val="eachSect"/>
      </w:footnotePr>
      <w:pgSz w:w="11906" w:h="16838"/>
      <w:pgMar w:top="1417" w:right="1417" w:bottom="269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F9E1" w14:textId="77777777" w:rsidR="00D519C1" w:rsidRDefault="00D519C1" w:rsidP="007512CB">
      <w:pPr>
        <w:spacing w:after="0"/>
      </w:pPr>
      <w:r>
        <w:separator/>
      </w:r>
    </w:p>
  </w:endnote>
  <w:endnote w:type="continuationSeparator" w:id="0">
    <w:p w14:paraId="1AF16251" w14:textId="77777777" w:rsidR="00D519C1" w:rsidRDefault="00D519C1" w:rsidP="00751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Content>
      <w:p w14:paraId="221A303E" w14:textId="50BBD9F2" w:rsidR="00B47B84" w:rsidRPr="00456B24" w:rsidRDefault="00B47B84">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427339">
          <w:rPr>
            <w:rFonts w:ascii="Arial" w:hAnsi="Arial" w:cs="Arial"/>
            <w:noProof/>
          </w:rPr>
          <w:t>3</w:t>
        </w:r>
        <w:r w:rsidRPr="00456B24">
          <w:rPr>
            <w:rFonts w:ascii="Arial" w:hAnsi="Arial" w:cs="Arial"/>
          </w:rPr>
          <w:fldChar w:fldCharType="end"/>
        </w:r>
      </w:p>
    </w:sdtContent>
  </w:sdt>
  <w:p w14:paraId="61B9750A" w14:textId="77777777" w:rsidR="00B47B84" w:rsidRDefault="00B47B8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9347" w14:textId="77777777" w:rsidR="00D519C1" w:rsidRDefault="00D519C1" w:rsidP="007512CB">
      <w:pPr>
        <w:spacing w:after="0"/>
      </w:pPr>
      <w:r>
        <w:separator/>
      </w:r>
    </w:p>
  </w:footnote>
  <w:footnote w:type="continuationSeparator" w:id="0">
    <w:p w14:paraId="2CBC9DC8" w14:textId="77777777" w:rsidR="00D519C1" w:rsidRDefault="00D519C1" w:rsidP="007512CB">
      <w:pPr>
        <w:spacing w:after="0"/>
      </w:pPr>
      <w:r>
        <w:continuationSeparator/>
      </w:r>
    </w:p>
  </w:footnote>
  <w:footnote w:id="1">
    <w:p w14:paraId="5DE922EE" w14:textId="77777777" w:rsidR="007013DA" w:rsidRDefault="007013DA" w:rsidP="007013DA">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12ab odst. 2 a 6 zákona o dani z nemovitých věcí.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469F"/>
    <w:multiLevelType w:val="hybridMultilevel"/>
    <w:tmpl w:val="848C5A86"/>
    <w:lvl w:ilvl="0" w:tplc="1E4476A2">
      <w:numFmt w:val="bullet"/>
      <w:lvlText w:val="•"/>
      <w:lvlJc w:val="left"/>
      <w:pPr>
        <w:ind w:left="1065" w:hanging="70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11666B"/>
    <w:multiLevelType w:val="hybridMultilevel"/>
    <w:tmpl w:val="DA687E5E"/>
    <w:lvl w:ilvl="0" w:tplc="0F56CAF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2D36759"/>
    <w:multiLevelType w:val="hybridMultilevel"/>
    <w:tmpl w:val="31026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7722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462309">
    <w:abstractNumId w:val="1"/>
  </w:num>
  <w:num w:numId="3" w16cid:durableId="30226121">
    <w:abstractNumId w:val="2"/>
  </w:num>
  <w:num w:numId="4" w16cid:durableId="162742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CB"/>
    <w:rsid w:val="000023DE"/>
    <w:rsid w:val="00052F41"/>
    <w:rsid w:val="0007019C"/>
    <w:rsid w:val="00077BFA"/>
    <w:rsid w:val="000806FE"/>
    <w:rsid w:val="0008164C"/>
    <w:rsid w:val="00085F87"/>
    <w:rsid w:val="000861CF"/>
    <w:rsid w:val="00087566"/>
    <w:rsid w:val="000A083C"/>
    <w:rsid w:val="000C0648"/>
    <w:rsid w:val="000C1FBA"/>
    <w:rsid w:val="000E3D57"/>
    <w:rsid w:val="00101854"/>
    <w:rsid w:val="001025BE"/>
    <w:rsid w:val="0010562B"/>
    <w:rsid w:val="001176B0"/>
    <w:rsid w:val="001217BF"/>
    <w:rsid w:val="00135C3A"/>
    <w:rsid w:val="00140027"/>
    <w:rsid w:val="00145F89"/>
    <w:rsid w:val="0015188D"/>
    <w:rsid w:val="00155490"/>
    <w:rsid w:val="0016263F"/>
    <w:rsid w:val="0017135D"/>
    <w:rsid w:val="001A2D74"/>
    <w:rsid w:val="001B759C"/>
    <w:rsid w:val="001B7C9F"/>
    <w:rsid w:val="001D2677"/>
    <w:rsid w:val="001F4DC6"/>
    <w:rsid w:val="0021510A"/>
    <w:rsid w:val="00232ED7"/>
    <w:rsid w:val="00264EA4"/>
    <w:rsid w:val="00277EE8"/>
    <w:rsid w:val="002D5ADF"/>
    <w:rsid w:val="002E3EAE"/>
    <w:rsid w:val="003003A4"/>
    <w:rsid w:val="003501E1"/>
    <w:rsid w:val="00363BC0"/>
    <w:rsid w:val="00371DAD"/>
    <w:rsid w:val="003801A3"/>
    <w:rsid w:val="0038107F"/>
    <w:rsid w:val="003A1C11"/>
    <w:rsid w:val="003A447D"/>
    <w:rsid w:val="003B56FE"/>
    <w:rsid w:val="003F1F2F"/>
    <w:rsid w:val="003F41A9"/>
    <w:rsid w:val="00402B0D"/>
    <w:rsid w:val="004061CA"/>
    <w:rsid w:val="00427339"/>
    <w:rsid w:val="00433975"/>
    <w:rsid w:val="0043707C"/>
    <w:rsid w:val="00451933"/>
    <w:rsid w:val="00456340"/>
    <w:rsid w:val="004635B9"/>
    <w:rsid w:val="004733B2"/>
    <w:rsid w:val="00476FD1"/>
    <w:rsid w:val="004929E7"/>
    <w:rsid w:val="0049765A"/>
    <w:rsid w:val="00497745"/>
    <w:rsid w:val="004B007F"/>
    <w:rsid w:val="004B2339"/>
    <w:rsid w:val="004C0631"/>
    <w:rsid w:val="004F2C42"/>
    <w:rsid w:val="004F4243"/>
    <w:rsid w:val="004F5FEF"/>
    <w:rsid w:val="005026E9"/>
    <w:rsid w:val="00503901"/>
    <w:rsid w:val="0052225B"/>
    <w:rsid w:val="00523F03"/>
    <w:rsid w:val="005264D8"/>
    <w:rsid w:val="00533419"/>
    <w:rsid w:val="0055453F"/>
    <w:rsid w:val="00555CD0"/>
    <w:rsid w:val="00570370"/>
    <w:rsid w:val="005768C4"/>
    <w:rsid w:val="00591433"/>
    <w:rsid w:val="005A3683"/>
    <w:rsid w:val="005C7673"/>
    <w:rsid w:val="005D5D5B"/>
    <w:rsid w:val="005F3BB8"/>
    <w:rsid w:val="00606D51"/>
    <w:rsid w:val="006268DF"/>
    <w:rsid w:val="0062745A"/>
    <w:rsid w:val="00637F4D"/>
    <w:rsid w:val="00652FD8"/>
    <w:rsid w:val="006A7623"/>
    <w:rsid w:val="006C2F76"/>
    <w:rsid w:val="006E066B"/>
    <w:rsid w:val="007013DA"/>
    <w:rsid w:val="00707DC7"/>
    <w:rsid w:val="0071147B"/>
    <w:rsid w:val="00711F4F"/>
    <w:rsid w:val="00730D69"/>
    <w:rsid w:val="007512CB"/>
    <w:rsid w:val="00784185"/>
    <w:rsid w:val="00791A4F"/>
    <w:rsid w:val="00791C16"/>
    <w:rsid w:val="007947A4"/>
    <w:rsid w:val="0079614A"/>
    <w:rsid w:val="007B7299"/>
    <w:rsid w:val="007C2F9C"/>
    <w:rsid w:val="00800531"/>
    <w:rsid w:val="008339B9"/>
    <w:rsid w:val="008412E0"/>
    <w:rsid w:val="00863120"/>
    <w:rsid w:val="008753B9"/>
    <w:rsid w:val="009062CA"/>
    <w:rsid w:val="00915998"/>
    <w:rsid w:val="0093519F"/>
    <w:rsid w:val="009617A5"/>
    <w:rsid w:val="0097355F"/>
    <w:rsid w:val="00975243"/>
    <w:rsid w:val="009754F6"/>
    <w:rsid w:val="00987031"/>
    <w:rsid w:val="00990500"/>
    <w:rsid w:val="00994F59"/>
    <w:rsid w:val="009B23D0"/>
    <w:rsid w:val="009C19E5"/>
    <w:rsid w:val="009F4D66"/>
    <w:rsid w:val="00A46D72"/>
    <w:rsid w:val="00A542A5"/>
    <w:rsid w:val="00A63B8F"/>
    <w:rsid w:val="00A869C6"/>
    <w:rsid w:val="00AC24FE"/>
    <w:rsid w:val="00AD4451"/>
    <w:rsid w:val="00AD5616"/>
    <w:rsid w:val="00AF04C8"/>
    <w:rsid w:val="00AF5EEA"/>
    <w:rsid w:val="00B02E8F"/>
    <w:rsid w:val="00B07344"/>
    <w:rsid w:val="00B123E7"/>
    <w:rsid w:val="00B27D0E"/>
    <w:rsid w:val="00B458ED"/>
    <w:rsid w:val="00B47B84"/>
    <w:rsid w:val="00B57949"/>
    <w:rsid w:val="00B605B4"/>
    <w:rsid w:val="00B72B97"/>
    <w:rsid w:val="00B93C1F"/>
    <w:rsid w:val="00BA41C9"/>
    <w:rsid w:val="00BD52B5"/>
    <w:rsid w:val="00BF3DEA"/>
    <w:rsid w:val="00BF560C"/>
    <w:rsid w:val="00BF75D1"/>
    <w:rsid w:val="00C01C4D"/>
    <w:rsid w:val="00C06782"/>
    <w:rsid w:val="00C35F04"/>
    <w:rsid w:val="00C4287E"/>
    <w:rsid w:val="00C47856"/>
    <w:rsid w:val="00C640E8"/>
    <w:rsid w:val="00C66656"/>
    <w:rsid w:val="00C85AE7"/>
    <w:rsid w:val="00C934C4"/>
    <w:rsid w:val="00CB4A70"/>
    <w:rsid w:val="00CC5EF1"/>
    <w:rsid w:val="00CD0D53"/>
    <w:rsid w:val="00CD4137"/>
    <w:rsid w:val="00CE39DC"/>
    <w:rsid w:val="00D028F1"/>
    <w:rsid w:val="00D03E1F"/>
    <w:rsid w:val="00D124E6"/>
    <w:rsid w:val="00D2239B"/>
    <w:rsid w:val="00D355AC"/>
    <w:rsid w:val="00D3592F"/>
    <w:rsid w:val="00D4169B"/>
    <w:rsid w:val="00D474C0"/>
    <w:rsid w:val="00D519C1"/>
    <w:rsid w:val="00D54E2A"/>
    <w:rsid w:val="00D711EF"/>
    <w:rsid w:val="00D74381"/>
    <w:rsid w:val="00D91144"/>
    <w:rsid w:val="00DC1F1E"/>
    <w:rsid w:val="00DD3431"/>
    <w:rsid w:val="00DE1F22"/>
    <w:rsid w:val="00DE79CA"/>
    <w:rsid w:val="00E23941"/>
    <w:rsid w:val="00E544F2"/>
    <w:rsid w:val="00E55769"/>
    <w:rsid w:val="00E746CB"/>
    <w:rsid w:val="00EB2988"/>
    <w:rsid w:val="00EC40AB"/>
    <w:rsid w:val="00EE6652"/>
    <w:rsid w:val="00EF4A7E"/>
    <w:rsid w:val="00F07857"/>
    <w:rsid w:val="00F115AC"/>
    <w:rsid w:val="00F11D8B"/>
    <w:rsid w:val="00F13F9C"/>
    <w:rsid w:val="00F157E1"/>
    <w:rsid w:val="00F2027B"/>
    <w:rsid w:val="00F21464"/>
    <w:rsid w:val="00F22B32"/>
    <w:rsid w:val="00F25688"/>
    <w:rsid w:val="00F32709"/>
    <w:rsid w:val="00F37B0E"/>
    <w:rsid w:val="00F441C0"/>
    <w:rsid w:val="00F51CA8"/>
    <w:rsid w:val="00F57575"/>
    <w:rsid w:val="00F863B9"/>
    <w:rsid w:val="00F879DA"/>
    <w:rsid w:val="00F93D0E"/>
    <w:rsid w:val="00FB7C48"/>
    <w:rsid w:val="00FE6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DD7D"/>
  <w15:chartTrackingRefBased/>
  <w15:docId w15:val="{5F742A62-6050-4B2F-BC4F-038C594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cs-CZ"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12CB"/>
    <w:pPr>
      <w:spacing w:after="120"/>
    </w:pPr>
    <w:rPr>
      <w:rFonts w:asciiTheme="minorHAnsi" w:hAnsiTheme="minorHAnsi"/>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7512CB"/>
    <w:pPr>
      <w:spacing w:after="0"/>
    </w:pPr>
    <w:rPr>
      <w:sz w:val="20"/>
      <w:szCs w:val="20"/>
    </w:rPr>
  </w:style>
  <w:style w:type="character" w:customStyle="1" w:styleId="TextpoznpodarouChar">
    <w:name w:val="Text pozn. pod čarou Char"/>
    <w:basedOn w:val="Standardnpsmoodstavce"/>
    <w:link w:val="Textpoznpodarou"/>
    <w:uiPriority w:val="99"/>
    <w:semiHidden/>
    <w:rsid w:val="007512CB"/>
    <w:rPr>
      <w:rFonts w:asciiTheme="minorHAnsi" w:hAnsiTheme="minorHAnsi"/>
      <w:kern w:val="0"/>
      <w:sz w:val="20"/>
      <w:szCs w:val="20"/>
      <w14:ligatures w14:val="none"/>
    </w:rPr>
  </w:style>
  <w:style w:type="character" w:styleId="Znakapoznpodarou">
    <w:name w:val="footnote reference"/>
    <w:basedOn w:val="Standardnpsmoodstavce"/>
    <w:uiPriority w:val="99"/>
    <w:semiHidden/>
    <w:unhideWhenUsed/>
    <w:rsid w:val="007512CB"/>
    <w:rPr>
      <w:vertAlign w:val="superscript"/>
    </w:rPr>
  </w:style>
  <w:style w:type="paragraph" w:styleId="Odstavecseseznamem">
    <w:name w:val="List Paragraph"/>
    <w:basedOn w:val="Normln"/>
    <w:uiPriority w:val="34"/>
    <w:qFormat/>
    <w:rsid w:val="00F11D8B"/>
    <w:pPr>
      <w:ind w:left="720"/>
      <w:contextualSpacing/>
    </w:pPr>
  </w:style>
  <w:style w:type="paragraph" w:styleId="Zpat">
    <w:name w:val="footer"/>
    <w:basedOn w:val="Normln"/>
    <w:link w:val="ZpatChar"/>
    <w:uiPriority w:val="99"/>
    <w:unhideWhenUsed/>
    <w:rsid w:val="00B47B84"/>
    <w:pPr>
      <w:tabs>
        <w:tab w:val="center" w:pos="4536"/>
        <w:tab w:val="right" w:pos="9072"/>
      </w:tabs>
      <w:spacing w:after="0"/>
    </w:pPr>
  </w:style>
  <w:style w:type="character" w:customStyle="1" w:styleId="ZpatChar">
    <w:name w:val="Zápatí Char"/>
    <w:basedOn w:val="Standardnpsmoodstavce"/>
    <w:link w:val="Zpat"/>
    <w:uiPriority w:val="99"/>
    <w:rsid w:val="00B47B84"/>
    <w:rPr>
      <w:rFonts w:asciiTheme="minorHAnsi" w:hAnsiTheme="minorHAnsi"/>
      <w:kern w:val="0"/>
      <w14:ligatures w14:val="none"/>
    </w:rPr>
  </w:style>
  <w:style w:type="paragraph" w:styleId="Revize">
    <w:name w:val="Revision"/>
    <w:hidden/>
    <w:uiPriority w:val="99"/>
    <w:semiHidden/>
    <w:rsid w:val="00D03E1F"/>
    <w:pPr>
      <w:jc w:val="left"/>
    </w:pPr>
    <w:rPr>
      <w:rFonts w:asciiTheme="minorHAnsi" w:hAnsiTheme="minorHAnsi"/>
      <w:kern w:val="0"/>
      <w14:ligatures w14:val="none"/>
    </w:rPr>
  </w:style>
  <w:style w:type="paragraph" w:styleId="Textbubliny">
    <w:name w:val="Balloon Text"/>
    <w:basedOn w:val="Normln"/>
    <w:link w:val="TextbublinyChar"/>
    <w:uiPriority w:val="99"/>
    <w:semiHidden/>
    <w:unhideWhenUsed/>
    <w:rsid w:val="009617A5"/>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17A5"/>
    <w:rPr>
      <w:rFonts w:ascii="Segoe UI" w:hAnsi="Segoe UI" w:cs="Segoe UI"/>
      <w:kern w:val="0"/>
      <w:sz w:val="18"/>
      <w:szCs w:val="18"/>
      <w14:ligatures w14:val="none"/>
    </w:rPr>
  </w:style>
  <w:style w:type="paragraph" w:customStyle="1" w:styleId="Default">
    <w:name w:val="Default"/>
    <w:rsid w:val="008412E0"/>
    <w:pPr>
      <w:autoSpaceDE w:val="0"/>
      <w:autoSpaceDN w:val="0"/>
      <w:adjustRightInd w:val="0"/>
      <w:jc w:val="left"/>
    </w:pPr>
    <w:rPr>
      <w:rFonts w:cs="Arial"/>
      <w:color w:val="000000"/>
      <w:kern w:val="0"/>
      <w:sz w:val="24"/>
      <w:szCs w:val="24"/>
    </w:rPr>
  </w:style>
  <w:style w:type="character" w:styleId="Odkaznakoment">
    <w:name w:val="annotation reference"/>
    <w:basedOn w:val="Standardnpsmoodstavce"/>
    <w:uiPriority w:val="99"/>
    <w:semiHidden/>
    <w:unhideWhenUsed/>
    <w:rsid w:val="001D2677"/>
    <w:rPr>
      <w:sz w:val="16"/>
      <w:szCs w:val="16"/>
    </w:rPr>
  </w:style>
  <w:style w:type="paragraph" w:styleId="Textkomente">
    <w:name w:val="annotation text"/>
    <w:basedOn w:val="Normln"/>
    <w:link w:val="TextkomenteChar"/>
    <w:uiPriority w:val="99"/>
    <w:semiHidden/>
    <w:unhideWhenUsed/>
    <w:rsid w:val="001D2677"/>
    <w:rPr>
      <w:sz w:val="20"/>
      <w:szCs w:val="20"/>
    </w:rPr>
  </w:style>
  <w:style w:type="character" w:customStyle="1" w:styleId="TextkomenteChar">
    <w:name w:val="Text komentáře Char"/>
    <w:basedOn w:val="Standardnpsmoodstavce"/>
    <w:link w:val="Textkomente"/>
    <w:uiPriority w:val="99"/>
    <w:semiHidden/>
    <w:rsid w:val="001D2677"/>
    <w:rPr>
      <w:rFonts w:asciiTheme="minorHAnsi" w:hAnsiTheme="minorHAnsi"/>
      <w:kern w:val="0"/>
      <w:sz w:val="20"/>
      <w:szCs w:val="20"/>
      <w14:ligatures w14:val="none"/>
    </w:rPr>
  </w:style>
  <w:style w:type="paragraph" w:styleId="Pedmtkomente">
    <w:name w:val="annotation subject"/>
    <w:basedOn w:val="Textkomente"/>
    <w:next w:val="Textkomente"/>
    <w:link w:val="PedmtkomenteChar"/>
    <w:uiPriority w:val="99"/>
    <w:semiHidden/>
    <w:unhideWhenUsed/>
    <w:rsid w:val="001D2677"/>
    <w:rPr>
      <w:b/>
      <w:bCs/>
    </w:rPr>
  </w:style>
  <w:style w:type="character" w:customStyle="1" w:styleId="PedmtkomenteChar">
    <w:name w:val="Předmět komentáře Char"/>
    <w:basedOn w:val="TextkomenteChar"/>
    <w:link w:val="Pedmtkomente"/>
    <w:uiPriority w:val="99"/>
    <w:semiHidden/>
    <w:rsid w:val="001D2677"/>
    <w:rPr>
      <w:rFonts w:asciiTheme="minorHAnsi" w:hAnsiTheme="minorHAns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860">
      <w:bodyDiv w:val="1"/>
      <w:marLeft w:val="0"/>
      <w:marRight w:val="0"/>
      <w:marTop w:val="0"/>
      <w:marBottom w:val="0"/>
      <w:divBdr>
        <w:top w:val="none" w:sz="0" w:space="0" w:color="auto"/>
        <w:left w:val="none" w:sz="0" w:space="0" w:color="auto"/>
        <w:bottom w:val="none" w:sz="0" w:space="0" w:color="auto"/>
        <w:right w:val="none" w:sz="0" w:space="0" w:color="auto"/>
      </w:divBdr>
    </w:div>
    <w:div w:id="197551806">
      <w:bodyDiv w:val="1"/>
      <w:marLeft w:val="0"/>
      <w:marRight w:val="0"/>
      <w:marTop w:val="0"/>
      <w:marBottom w:val="0"/>
      <w:divBdr>
        <w:top w:val="none" w:sz="0" w:space="0" w:color="auto"/>
        <w:left w:val="none" w:sz="0" w:space="0" w:color="auto"/>
        <w:bottom w:val="none" w:sz="0" w:space="0" w:color="auto"/>
        <w:right w:val="none" w:sz="0" w:space="0" w:color="auto"/>
      </w:divBdr>
    </w:div>
    <w:div w:id="41493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046E-A67D-4C5E-BE46-233097EF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7959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GFR</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Koreček Jan Ing. (GFŘ)</dc:creator>
  <cp:keywords/>
  <dc:description/>
  <cp:lastModifiedBy>Horčičková Jana, Ing.</cp:lastModifiedBy>
  <cp:revision>2</cp:revision>
  <dcterms:created xsi:type="dcterms:W3CDTF">2025-06-19T11:47:00Z</dcterms:created>
  <dcterms:modified xsi:type="dcterms:W3CDTF">2025-06-19T11:47:00Z</dcterms:modified>
</cp:coreProperties>
</file>