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E8E2" w14:textId="0C6C0345" w:rsidR="00BC4049" w:rsidRDefault="00BC4049" w:rsidP="00022BF2">
      <w:pPr>
        <w:pStyle w:val="Default"/>
        <w:jc w:val="center"/>
        <w:rPr>
          <w:b/>
          <w:bCs/>
        </w:rPr>
      </w:pPr>
      <w:r>
        <w:rPr>
          <w:b/>
          <w:bCs/>
        </w:rPr>
        <w:t>Článek 1</w:t>
      </w:r>
    </w:p>
    <w:p w14:paraId="5E1448E1" w14:textId="347D21B5" w:rsidR="00750555" w:rsidRPr="00C61C17" w:rsidRDefault="00750555" w:rsidP="00022BF2">
      <w:pPr>
        <w:pStyle w:val="Default"/>
        <w:jc w:val="center"/>
        <w:rPr>
          <w:b/>
          <w:bCs/>
        </w:rPr>
      </w:pPr>
      <w:r w:rsidRPr="00C61C17">
        <w:rPr>
          <w:b/>
          <w:bCs/>
        </w:rPr>
        <w:t>Úvod</w:t>
      </w:r>
    </w:p>
    <w:p w14:paraId="78F5C709" w14:textId="77777777" w:rsidR="00750555" w:rsidRPr="009177FB" w:rsidRDefault="00750555" w:rsidP="00750555">
      <w:pPr>
        <w:pStyle w:val="Default"/>
        <w:jc w:val="center"/>
        <w:rPr>
          <w:sz w:val="22"/>
          <w:szCs w:val="22"/>
        </w:rPr>
      </w:pPr>
    </w:p>
    <w:p w14:paraId="4B3CCE1C" w14:textId="426F6AB7" w:rsidR="00750555" w:rsidRPr="009177FB" w:rsidRDefault="00750555" w:rsidP="00750555">
      <w:pPr>
        <w:pStyle w:val="Default"/>
        <w:jc w:val="both"/>
        <w:rPr>
          <w:sz w:val="22"/>
          <w:szCs w:val="22"/>
        </w:rPr>
      </w:pPr>
      <w:r w:rsidRPr="009177FB">
        <w:rPr>
          <w:sz w:val="22"/>
          <w:szCs w:val="22"/>
        </w:rPr>
        <w:t xml:space="preserve">Při posuzování žádostí </w:t>
      </w:r>
      <w:r w:rsidRPr="009177FB">
        <w:rPr>
          <w:color w:val="auto"/>
          <w:sz w:val="22"/>
          <w:szCs w:val="22"/>
        </w:rPr>
        <w:t xml:space="preserve">o </w:t>
      </w:r>
      <w:r w:rsidR="00541D54" w:rsidRPr="009177FB">
        <w:rPr>
          <w:color w:val="auto"/>
          <w:sz w:val="22"/>
          <w:szCs w:val="22"/>
        </w:rPr>
        <w:t>byt v obecním zájmu</w:t>
      </w:r>
      <w:r w:rsidRPr="009177FB">
        <w:rPr>
          <w:color w:val="auto"/>
          <w:sz w:val="22"/>
          <w:szCs w:val="22"/>
        </w:rPr>
        <w:t xml:space="preserve"> </w:t>
      </w:r>
      <w:r w:rsidRPr="009177FB">
        <w:rPr>
          <w:sz w:val="22"/>
          <w:szCs w:val="22"/>
        </w:rPr>
        <w:t xml:space="preserve">SMJNN </w:t>
      </w:r>
      <w:r w:rsidR="00541D54" w:rsidRPr="009177FB">
        <w:rPr>
          <w:sz w:val="22"/>
          <w:szCs w:val="22"/>
        </w:rPr>
        <w:t xml:space="preserve">(dále jen BOZ) </w:t>
      </w:r>
      <w:r w:rsidRPr="009177FB">
        <w:rPr>
          <w:sz w:val="22"/>
          <w:szCs w:val="22"/>
        </w:rPr>
        <w:t xml:space="preserve">a následné uzavírání nájemních smluv (dále „NS“) bude vždy usilováno o vyhovění žadateli, resp. spolupracující organizaci, která doporučí poskytnutí nájemního vztahu pro svého zaměstnance. Žádosti vyhodnocuje a Radě </w:t>
      </w:r>
      <w:r w:rsidR="00CC4F4E">
        <w:rPr>
          <w:sz w:val="22"/>
          <w:szCs w:val="22"/>
        </w:rPr>
        <w:t>SMJNN</w:t>
      </w:r>
      <w:r w:rsidRPr="009177FB">
        <w:rPr>
          <w:sz w:val="22"/>
          <w:szCs w:val="22"/>
        </w:rPr>
        <w:t xml:space="preserve"> doporučuje uzavření NS </w:t>
      </w:r>
      <w:r w:rsidR="00541D54" w:rsidRPr="009177FB">
        <w:rPr>
          <w:color w:val="auto"/>
          <w:sz w:val="22"/>
          <w:szCs w:val="22"/>
        </w:rPr>
        <w:t>Poradní sbor</w:t>
      </w:r>
      <w:r w:rsidRPr="009177FB">
        <w:rPr>
          <w:color w:val="auto"/>
          <w:sz w:val="22"/>
          <w:szCs w:val="22"/>
        </w:rPr>
        <w:t xml:space="preserve"> </w:t>
      </w:r>
      <w:r w:rsidR="00CC01F9">
        <w:rPr>
          <w:color w:val="auto"/>
          <w:sz w:val="22"/>
          <w:szCs w:val="22"/>
        </w:rPr>
        <w:t>pro bytové záležitosti</w:t>
      </w:r>
      <w:r w:rsidRPr="009177FB">
        <w:rPr>
          <w:color w:val="auto"/>
          <w:sz w:val="22"/>
          <w:szCs w:val="22"/>
        </w:rPr>
        <w:t xml:space="preserve"> (dále „</w:t>
      </w:r>
      <w:r w:rsidR="00541D54" w:rsidRPr="009177FB">
        <w:rPr>
          <w:color w:val="auto"/>
          <w:sz w:val="22"/>
          <w:szCs w:val="22"/>
        </w:rPr>
        <w:t>PS</w:t>
      </w:r>
      <w:r w:rsidR="00CC01F9">
        <w:rPr>
          <w:color w:val="auto"/>
          <w:sz w:val="22"/>
          <w:szCs w:val="22"/>
        </w:rPr>
        <w:t>BZ</w:t>
      </w:r>
      <w:r w:rsidRPr="009177FB">
        <w:rPr>
          <w:color w:val="auto"/>
          <w:sz w:val="22"/>
          <w:szCs w:val="22"/>
        </w:rPr>
        <w:t xml:space="preserve">“). </w:t>
      </w:r>
      <w:r w:rsidRPr="009177FB">
        <w:rPr>
          <w:sz w:val="22"/>
          <w:szCs w:val="22"/>
        </w:rPr>
        <w:t xml:space="preserve">Žádosti jsou evidovány dle data podání žádosti v pořadníku čekatelů </w:t>
      </w:r>
      <w:r w:rsidRPr="009177FB">
        <w:rPr>
          <w:color w:val="auto"/>
          <w:sz w:val="22"/>
          <w:szCs w:val="22"/>
        </w:rPr>
        <w:t xml:space="preserve">o </w:t>
      </w:r>
      <w:r w:rsidR="00541D54" w:rsidRPr="009177FB">
        <w:rPr>
          <w:color w:val="auto"/>
          <w:sz w:val="22"/>
          <w:szCs w:val="22"/>
        </w:rPr>
        <w:t>byt v obecním zájmu</w:t>
      </w:r>
      <w:r w:rsidRPr="009177FB">
        <w:rPr>
          <w:color w:val="auto"/>
          <w:sz w:val="22"/>
          <w:szCs w:val="22"/>
        </w:rPr>
        <w:t xml:space="preserve">. </w:t>
      </w:r>
    </w:p>
    <w:p w14:paraId="399CECFC" w14:textId="77777777" w:rsidR="00022BF2" w:rsidRPr="009177FB" w:rsidRDefault="00022BF2" w:rsidP="00750555">
      <w:pPr>
        <w:pStyle w:val="Default"/>
        <w:jc w:val="both"/>
        <w:rPr>
          <w:sz w:val="22"/>
          <w:szCs w:val="22"/>
        </w:rPr>
      </w:pPr>
    </w:p>
    <w:tbl>
      <w:tblPr>
        <w:tblW w:w="8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2551"/>
        <w:gridCol w:w="2394"/>
      </w:tblGrid>
      <w:tr w:rsidR="00750555" w:rsidRPr="009177FB" w14:paraId="64C2CD9F" w14:textId="77777777" w:rsidTr="009177FB">
        <w:trPr>
          <w:trHeight w:val="93"/>
        </w:trPr>
        <w:tc>
          <w:tcPr>
            <w:tcW w:w="3631" w:type="dxa"/>
            <w:shd w:val="clear" w:color="auto" w:fill="FFF2CC" w:themeFill="accent4" w:themeFillTint="33"/>
            <w:vAlign w:val="center"/>
          </w:tcPr>
          <w:p w14:paraId="76BBE801" w14:textId="27F477AB" w:rsidR="00750555" w:rsidRPr="009177FB" w:rsidRDefault="00750555" w:rsidP="00750555">
            <w:pPr>
              <w:pStyle w:val="Default"/>
              <w:rPr>
                <w:sz w:val="22"/>
                <w:szCs w:val="22"/>
              </w:rPr>
            </w:pPr>
            <w:r w:rsidRPr="009177FB">
              <w:rPr>
                <w:b/>
                <w:bCs/>
                <w:sz w:val="22"/>
                <w:szCs w:val="22"/>
              </w:rPr>
              <w:t xml:space="preserve">Optimální dispozice a velikost </w:t>
            </w:r>
            <w:r w:rsidRPr="00AF4589">
              <w:rPr>
                <w:b/>
                <w:bCs/>
                <w:color w:val="auto"/>
                <w:sz w:val="22"/>
                <w:szCs w:val="22"/>
              </w:rPr>
              <w:t xml:space="preserve">bytů dle nařízení vlády ČR č. 112/2019 Sb.: Určení </w:t>
            </w:r>
            <w:r w:rsidRPr="009177FB">
              <w:rPr>
                <w:b/>
                <w:bCs/>
                <w:sz w:val="22"/>
                <w:szCs w:val="22"/>
              </w:rPr>
              <w:t>bytu pro: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21C0546B" w14:textId="7327E561" w:rsidR="00750555" w:rsidRPr="009177FB" w:rsidRDefault="00750555" w:rsidP="00022BF2">
            <w:pPr>
              <w:pStyle w:val="Default"/>
              <w:jc w:val="center"/>
              <w:rPr>
                <w:sz w:val="22"/>
                <w:szCs w:val="22"/>
              </w:rPr>
            </w:pPr>
            <w:r w:rsidRPr="009177FB">
              <w:rPr>
                <w:b/>
                <w:bCs/>
                <w:sz w:val="22"/>
                <w:szCs w:val="22"/>
              </w:rPr>
              <w:t>Dispozice</w:t>
            </w:r>
            <w:r w:rsidR="00022BF2" w:rsidRPr="009177FB">
              <w:rPr>
                <w:b/>
                <w:bCs/>
                <w:sz w:val="22"/>
                <w:szCs w:val="22"/>
              </w:rPr>
              <w:t xml:space="preserve"> </w:t>
            </w:r>
            <w:r w:rsidRPr="009177FB">
              <w:rPr>
                <w:b/>
                <w:bCs/>
                <w:sz w:val="22"/>
                <w:szCs w:val="22"/>
              </w:rPr>
              <w:t>bytu-standard</w:t>
            </w:r>
          </w:p>
        </w:tc>
        <w:tc>
          <w:tcPr>
            <w:tcW w:w="2394" w:type="dxa"/>
            <w:shd w:val="clear" w:color="auto" w:fill="FFF2CC" w:themeFill="accent4" w:themeFillTint="33"/>
            <w:vAlign w:val="center"/>
          </w:tcPr>
          <w:p w14:paraId="6A734FA1" w14:textId="5CFB8BB0" w:rsidR="00750555" w:rsidRPr="009177FB" w:rsidRDefault="00750555" w:rsidP="00750555">
            <w:pPr>
              <w:pStyle w:val="Default"/>
              <w:jc w:val="center"/>
              <w:rPr>
                <w:sz w:val="22"/>
                <w:szCs w:val="22"/>
              </w:rPr>
            </w:pPr>
            <w:r w:rsidRPr="009177FB">
              <w:rPr>
                <w:b/>
                <w:bCs/>
                <w:sz w:val="22"/>
                <w:szCs w:val="22"/>
              </w:rPr>
              <w:t>Orientační užitná plocha bytu</w:t>
            </w:r>
          </w:p>
        </w:tc>
      </w:tr>
      <w:tr w:rsidR="00750555" w:rsidRPr="009177FB" w14:paraId="144B3451" w14:textId="77777777" w:rsidTr="009177FB">
        <w:trPr>
          <w:trHeight w:val="98"/>
        </w:trPr>
        <w:tc>
          <w:tcPr>
            <w:tcW w:w="3631" w:type="dxa"/>
          </w:tcPr>
          <w:p w14:paraId="20572973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jednotlivce </w:t>
            </w:r>
          </w:p>
        </w:tc>
        <w:tc>
          <w:tcPr>
            <w:tcW w:w="2551" w:type="dxa"/>
          </w:tcPr>
          <w:p w14:paraId="4ADDEEB4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1 až 2 obytné místnosti </w:t>
            </w:r>
          </w:p>
        </w:tc>
        <w:tc>
          <w:tcPr>
            <w:tcW w:w="2394" w:type="dxa"/>
          </w:tcPr>
          <w:p w14:paraId="3F1B45A2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do 37,9 m2 </w:t>
            </w:r>
          </w:p>
        </w:tc>
      </w:tr>
      <w:tr w:rsidR="00750555" w:rsidRPr="009177FB" w14:paraId="0153891F" w14:textId="77777777" w:rsidTr="009177FB">
        <w:trPr>
          <w:trHeight w:val="98"/>
        </w:trPr>
        <w:tc>
          <w:tcPr>
            <w:tcW w:w="3631" w:type="dxa"/>
          </w:tcPr>
          <w:p w14:paraId="2422C073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2 osoby </w:t>
            </w:r>
          </w:p>
        </w:tc>
        <w:tc>
          <w:tcPr>
            <w:tcW w:w="2551" w:type="dxa"/>
          </w:tcPr>
          <w:p w14:paraId="643DB805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1 až 3 obytné místnosti </w:t>
            </w:r>
          </w:p>
        </w:tc>
        <w:tc>
          <w:tcPr>
            <w:tcW w:w="2394" w:type="dxa"/>
          </w:tcPr>
          <w:p w14:paraId="2EC97328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38 m2 - 51,9 m2 </w:t>
            </w:r>
          </w:p>
        </w:tc>
      </w:tr>
      <w:tr w:rsidR="00750555" w:rsidRPr="009177FB" w14:paraId="2F3973D3" w14:textId="77777777" w:rsidTr="009177FB">
        <w:trPr>
          <w:trHeight w:val="98"/>
        </w:trPr>
        <w:tc>
          <w:tcPr>
            <w:tcW w:w="3631" w:type="dxa"/>
          </w:tcPr>
          <w:p w14:paraId="7CC01797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3 osoby </w:t>
            </w:r>
          </w:p>
        </w:tc>
        <w:tc>
          <w:tcPr>
            <w:tcW w:w="2551" w:type="dxa"/>
          </w:tcPr>
          <w:p w14:paraId="7055F7EF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2 až 3 obytné místnosti </w:t>
            </w:r>
          </w:p>
        </w:tc>
        <w:tc>
          <w:tcPr>
            <w:tcW w:w="2394" w:type="dxa"/>
          </w:tcPr>
          <w:p w14:paraId="2D158FC6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52 m2 – 81 m2 </w:t>
            </w:r>
          </w:p>
        </w:tc>
      </w:tr>
      <w:tr w:rsidR="00750555" w:rsidRPr="009177FB" w14:paraId="0B7FA42E" w14:textId="77777777" w:rsidTr="009177FB">
        <w:trPr>
          <w:trHeight w:val="98"/>
        </w:trPr>
        <w:tc>
          <w:tcPr>
            <w:tcW w:w="3631" w:type="dxa"/>
          </w:tcPr>
          <w:p w14:paraId="4A1D37C6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4 osoby </w:t>
            </w:r>
          </w:p>
        </w:tc>
        <w:tc>
          <w:tcPr>
            <w:tcW w:w="2551" w:type="dxa"/>
          </w:tcPr>
          <w:p w14:paraId="5DF183C4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3 až 4 obytné místnosti </w:t>
            </w:r>
          </w:p>
        </w:tc>
        <w:tc>
          <w:tcPr>
            <w:tcW w:w="2394" w:type="dxa"/>
          </w:tcPr>
          <w:p w14:paraId="1558D211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68 m2 - 95,9 m2 </w:t>
            </w:r>
          </w:p>
        </w:tc>
      </w:tr>
      <w:tr w:rsidR="00750555" w:rsidRPr="009177FB" w14:paraId="2E9FB1D0" w14:textId="77777777" w:rsidTr="009177FB">
        <w:trPr>
          <w:trHeight w:val="98"/>
        </w:trPr>
        <w:tc>
          <w:tcPr>
            <w:tcW w:w="3631" w:type="dxa"/>
          </w:tcPr>
          <w:p w14:paraId="3ACA2F8F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9177FB">
              <w:rPr>
                <w:sz w:val="22"/>
                <w:szCs w:val="22"/>
              </w:rPr>
              <w:t>5 - 6</w:t>
            </w:r>
            <w:proofErr w:type="gramEnd"/>
            <w:r w:rsidRPr="009177FB">
              <w:rPr>
                <w:sz w:val="22"/>
                <w:szCs w:val="22"/>
              </w:rPr>
              <w:t xml:space="preserve"> + více osob </w:t>
            </w:r>
          </w:p>
        </w:tc>
        <w:tc>
          <w:tcPr>
            <w:tcW w:w="2551" w:type="dxa"/>
          </w:tcPr>
          <w:p w14:paraId="798F5949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4 až 5 obytných místností </w:t>
            </w:r>
          </w:p>
        </w:tc>
        <w:tc>
          <w:tcPr>
            <w:tcW w:w="2394" w:type="dxa"/>
          </w:tcPr>
          <w:p w14:paraId="0B614BA5" w14:textId="77777777" w:rsidR="00750555" w:rsidRPr="009177FB" w:rsidRDefault="00750555" w:rsidP="00750555">
            <w:pPr>
              <w:pStyle w:val="Default"/>
              <w:jc w:val="both"/>
              <w:rPr>
                <w:sz w:val="22"/>
                <w:szCs w:val="22"/>
              </w:rPr>
            </w:pPr>
            <w:r w:rsidRPr="009177FB">
              <w:rPr>
                <w:sz w:val="22"/>
                <w:szCs w:val="22"/>
              </w:rPr>
              <w:t xml:space="preserve">82 m2 - 95,9 m2 + větší </w:t>
            </w:r>
          </w:p>
        </w:tc>
      </w:tr>
    </w:tbl>
    <w:p w14:paraId="3A1FFFBE" w14:textId="77777777" w:rsidR="00541D54" w:rsidRPr="009177FB" w:rsidRDefault="00541D54" w:rsidP="00022BF2">
      <w:pPr>
        <w:pStyle w:val="Default"/>
        <w:jc w:val="center"/>
        <w:rPr>
          <w:b/>
          <w:bCs/>
          <w:sz w:val="22"/>
          <w:szCs w:val="22"/>
        </w:rPr>
      </w:pPr>
    </w:p>
    <w:p w14:paraId="4320A212" w14:textId="189A5356" w:rsidR="00750555" w:rsidRPr="00C61C17" w:rsidRDefault="00750555" w:rsidP="00022BF2">
      <w:pPr>
        <w:pStyle w:val="Default"/>
        <w:jc w:val="center"/>
      </w:pPr>
      <w:r w:rsidRPr="00C61C17">
        <w:rPr>
          <w:b/>
          <w:bCs/>
        </w:rPr>
        <w:t xml:space="preserve">Článek </w:t>
      </w:r>
      <w:r w:rsidR="00BC4049">
        <w:rPr>
          <w:b/>
          <w:bCs/>
        </w:rPr>
        <w:t>2</w:t>
      </w:r>
    </w:p>
    <w:p w14:paraId="55F66494" w14:textId="1C462361" w:rsidR="00750555" w:rsidRPr="00C61C17" w:rsidRDefault="00750555" w:rsidP="00022BF2">
      <w:pPr>
        <w:pStyle w:val="Default"/>
        <w:jc w:val="center"/>
        <w:rPr>
          <w:b/>
          <w:bCs/>
          <w:color w:val="auto"/>
        </w:rPr>
      </w:pPr>
      <w:r w:rsidRPr="00C61C17">
        <w:rPr>
          <w:b/>
          <w:bCs/>
        </w:rPr>
        <w:t>Evidence žadatelů</w:t>
      </w:r>
    </w:p>
    <w:p w14:paraId="6152FC7F" w14:textId="77777777" w:rsidR="00C61C17" w:rsidRDefault="00C61C17" w:rsidP="00C61C17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687D6C03" w14:textId="35264C62" w:rsidR="00750555" w:rsidRPr="000F512B" w:rsidRDefault="00750555" w:rsidP="00C61C17">
      <w:pPr>
        <w:pStyle w:val="Default"/>
        <w:numPr>
          <w:ilvl w:val="0"/>
          <w:numId w:val="8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0F512B">
        <w:rPr>
          <w:color w:val="auto"/>
          <w:sz w:val="22"/>
          <w:szCs w:val="22"/>
        </w:rPr>
        <w:t xml:space="preserve">Kontaktní místo pro bydlení </w:t>
      </w:r>
      <w:r w:rsidR="00AC6370" w:rsidRPr="000F512B">
        <w:rPr>
          <w:color w:val="auto"/>
          <w:sz w:val="22"/>
          <w:szCs w:val="22"/>
        </w:rPr>
        <w:t xml:space="preserve">a sociální pomoc </w:t>
      </w:r>
      <w:r w:rsidRPr="000F512B">
        <w:rPr>
          <w:color w:val="auto"/>
          <w:sz w:val="22"/>
          <w:szCs w:val="22"/>
        </w:rPr>
        <w:t>(dále „</w:t>
      </w:r>
      <w:proofErr w:type="spellStart"/>
      <w:r w:rsidRPr="000F512B">
        <w:rPr>
          <w:color w:val="auto"/>
          <w:sz w:val="22"/>
          <w:szCs w:val="22"/>
        </w:rPr>
        <w:t>KMB</w:t>
      </w:r>
      <w:r w:rsidR="00AC6370" w:rsidRPr="000F512B">
        <w:rPr>
          <w:color w:val="auto"/>
          <w:sz w:val="22"/>
          <w:szCs w:val="22"/>
        </w:rPr>
        <w:t>aSP</w:t>
      </w:r>
      <w:proofErr w:type="spellEnd"/>
      <w:r w:rsidRPr="000F512B">
        <w:rPr>
          <w:color w:val="auto"/>
          <w:sz w:val="22"/>
          <w:szCs w:val="22"/>
        </w:rPr>
        <w:t xml:space="preserve">“) </w:t>
      </w:r>
      <w:r w:rsidR="00022BF2" w:rsidRPr="000F512B">
        <w:rPr>
          <w:color w:val="auto"/>
          <w:sz w:val="22"/>
          <w:szCs w:val="22"/>
        </w:rPr>
        <w:t>SMJNN</w:t>
      </w:r>
      <w:r w:rsidRPr="000F512B">
        <w:rPr>
          <w:color w:val="auto"/>
          <w:sz w:val="22"/>
          <w:szCs w:val="22"/>
        </w:rPr>
        <w:t xml:space="preserve"> vede evidenci žadatelů o </w:t>
      </w:r>
      <w:r w:rsidR="0070348D" w:rsidRPr="000F512B">
        <w:rPr>
          <w:color w:val="auto"/>
          <w:sz w:val="22"/>
          <w:szCs w:val="22"/>
        </w:rPr>
        <w:t>nájem bytu v obecním zájmu.</w:t>
      </w:r>
    </w:p>
    <w:p w14:paraId="2EA59EA9" w14:textId="2B108E0D" w:rsidR="00750555" w:rsidRPr="009177FB" w:rsidRDefault="00750555" w:rsidP="00C61C17">
      <w:pPr>
        <w:pStyle w:val="Default"/>
        <w:numPr>
          <w:ilvl w:val="0"/>
          <w:numId w:val="8"/>
        </w:numPr>
        <w:spacing w:after="120"/>
        <w:ind w:left="284"/>
        <w:jc w:val="both"/>
        <w:rPr>
          <w:sz w:val="22"/>
          <w:szCs w:val="22"/>
        </w:rPr>
      </w:pPr>
      <w:r w:rsidRPr="000F512B">
        <w:rPr>
          <w:color w:val="auto"/>
          <w:sz w:val="22"/>
          <w:szCs w:val="22"/>
        </w:rPr>
        <w:t xml:space="preserve">Žadatelé zapsaní do evidence jsou povinni nejpozději </w:t>
      </w:r>
      <w:r w:rsidRPr="009177FB">
        <w:rPr>
          <w:sz w:val="22"/>
          <w:szCs w:val="22"/>
        </w:rPr>
        <w:t xml:space="preserve">do 30 dnů ode dne, kdy došlo k jakékoliv změně, tuto skutečnost oznámit písemnou formou </w:t>
      </w:r>
      <w:proofErr w:type="spellStart"/>
      <w:r w:rsidRPr="009177FB">
        <w:rPr>
          <w:sz w:val="22"/>
          <w:szCs w:val="22"/>
        </w:rPr>
        <w:t>KMB</w:t>
      </w:r>
      <w:r w:rsidR="00AC6370">
        <w:rPr>
          <w:sz w:val="22"/>
          <w:szCs w:val="22"/>
        </w:rPr>
        <w:t>aSP</w:t>
      </w:r>
      <w:proofErr w:type="spellEnd"/>
      <w:r w:rsidRPr="009177FB">
        <w:rPr>
          <w:sz w:val="22"/>
          <w:szCs w:val="22"/>
        </w:rPr>
        <w:t>.</w:t>
      </w:r>
    </w:p>
    <w:p w14:paraId="22C47EA1" w14:textId="194D2644" w:rsidR="00750555" w:rsidRPr="009177FB" w:rsidRDefault="00750555" w:rsidP="00C61C17">
      <w:pPr>
        <w:pStyle w:val="Default"/>
        <w:numPr>
          <w:ilvl w:val="0"/>
          <w:numId w:val="8"/>
        </w:numPr>
        <w:spacing w:after="120"/>
        <w:ind w:left="284"/>
        <w:jc w:val="both"/>
        <w:rPr>
          <w:sz w:val="22"/>
          <w:szCs w:val="22"/>
        </w:rPr>
      </w:pPr>
      <w:r w:rsidRPr="009177FB">
        <w:rPr>
          <w:sz w:val="22"/>
          <w:szCs w:val="22"/>
        </w:rPr>
        <w:t>V případě zařazení žadatele do evidence a pozdějšího řešení jeho žádosti, musí žadatel na vyzvání opět některá</w:t>
      </w:r>
      <w:r w:rsidR="0070348D" w:rsidRPr="009177FB">
        <w:rPr>
          <w:sz w:val="22"/>
          <w:szCs w:val="22"/>
        </w:rPr>
        <w:t xml:space="preserve"> níže</w:t>
      </w:r>
      <w:r w:rsidRPr="009177FB">
        <w:rPr>
          <w:sz w:val="22"/>
          <w:szCs w:val="22"/>
        </w:rPr>
        <w:t xml:space="preserve"> uvedená potvrzení doložit aktualizovaná.</w:t>
      </w:r>
    </w:p>
    <w:p w14:paraId="673ABA08" w14:textId="77E8F8C1" w:rsidR="00750555" w:rsidRDefault="00750555" w:rsidP="00C61C17">
      <w:pPr>
        <w:pStyle w:val="Default"/>
        <w:numPr>
          <w:ilvl w:val="0"/>
          <w:numId w:val="8"/>
        </w:numPr>
        <w:spacing w:after="120"/>
        <w:ind w:left="284"/>
        <w:jc w:val="both"/>
        <w:rPr>
          <w:sz w:val="22"/>
          <w:szCs w:val="22"/>
        </w:rPr>
      </w:pPr>
      <w:r w:rsidRPr="009177FB">
        <w:rPr>
          <w:sz w:val="22"/>
          <w:szCs w:val="22"/>
        </w:rPr>
        <w:t>Do evidence bude zapsán pouze žadatel, který doloží všechny požadované dokumenty</w:t>
      </w:r>
      <w:r w:rsidR="00B0577F" w:rsidRPr="009177FB">
        <w:rPr>
          <w:sz w:val="22"/>
          <w:szCs w:val="22"/>
        </w:rPr>
        <w:t>,</w:t>
      </w:r>
      <w:r w:rsidR="006F296F" w:rsidRPr="009177FB">
        <w:rPr>
          <w:sz w:val="22"/>
          <w:szCs w:val="22"/>
        </w:rPr>
        <w:t xml:space="preserve"> </w:t>
      </w:r>
      <w:r w:rsidRPr="009177FB">
        <w:rPr>
          <w:sz w:val="22"/>
          <w:szCs w:val="22"/>
        </w:rPr>
        <w:t>a</w:t>
      </w:r>
      <w:r w:rsidR="006F296F" w:rsidRPr="009177FB">
        <w:rPr>
          <w:sz w:val="22"/>
          <w:szCs w:val="22"/>
        </w:rPr>
        <w:t> </w:t>
      </w:r>
      <w:r w:rsidRPr="009177FB">
        <w:rPr>
          <w:sz w:val="22"/>
          <w:szCs w:val="22"/>
        </w:rPr>
        <w:t>nakonec potvrdí kompletní žádost svým podpisem.</w:t>
      </w:r>
    </w:p>
    <w:p w14:paraId="5DF9F935" w14:textId="2FE11DEA" w:rsidR="00A21CAB" w:rsidRDefault="00A21CAB" w:rsidP="00C61C17">
      <w:pPr>
        <w:pStyle w:val="Default"/>
        <w:numPr>
          <w:ilvl w:val="0"/>
          <w:numId w:val="8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Seznam preferovaných profesí je následující:</w:t>
      </w:r>
    </w:p>
    <w:p w14:paraId="00B1949A" w14:textId="32FE04D2" w:rsidR="00A21CAB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zaměstnanci SMJNN,</w:t>
      </w:r>
    </w:p>
    <w:p w14:paraId="198062D8" w14:textId="1D71C984" w:rsidR="00A21CAB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složky IZS,</w:t>
      </w:r>
    </w:p>
    <w:p w14:paraId="734D1CD5" w14:textId="090866BE" w:rsidR="00A21CAB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organizace založené a zřízen SMJNN,</w:t>
      </w:r>
    </w:p>
    <w:p w14:paraId="11517883" w14:textId="085B14AA" w:rsidR="00A21CAB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zdravotnické a lékařské profese,</w:t>
      </w:r>
    </w:p>
    <w:p w14:paraId="3CA0E4BD" w14:textId="5CF23FD2" w:rsidR="00A21CAB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NNO spolupracující se SMJNN,</w:t>
      </w:r>
    </w:p>
    <w:p w14:paraId="25FC04EA" w14:textId="7FA9A7FE" w:rsidR="00A21CAB" w:rsidRPr="00BD76E3" w:rsidRDefault="00A21CAB" w:rsidP="00A21CA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zaměstnanci státních orgánů a organizací</w:t>
      </w:r>
      <w:r w:rsidR="00121814" w:rsidRPr="00BD76E3">
        <w:rPr>
          <w:color w:val="auto"/>
          <w:sz w:val="22"/>
          <w:szCs w:val="22"/>
        </w:rPr>
        <w:t>,</w:t>
      </w:r>
    </w:p>
    <w:p w14:paraId="27C45AE6" w14:textId="0EB0D7F2" w:rsidR="00121814" w:rsidRPr="00BD76E3" w:rsidRDefault="00121814" w:rsidP="00A21CA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váleční veteráni.</w:t>
      </w:r>
    </w:p>
    <w:p w14:paraId="3684D403" w14:textId="2D5C90C2" w:rsidR="00750555" w:rsidRPr="009177FB" w:rsidRDefault="00750555" w:rsidP="000F512B">
      <w:pPr>
        <w:pStyle w:val="Default"/>
        <w:spacing w:after="120"/>
        <w:ind w:firstLine="284"/>
        <w:rPr>
          <w:sz w:val="22"/>
          <w:szCs w:val="22"/>
        </w:rPr>
      </w:pPr>
      <w:r w:rsidRPr="009177FB">
        <w:rPr>
          <w:b/>
          <w:bCs/>
          <w:i/>
          <w:iCs/>
          <w:sz w:val="22"/>
          <w:szCs w:val="22"/>
        </w:rPr>
        <w:t xml:space="preserve">Požadovanými </w:t>
      </w:r>
      <w:r w:rsidR="00BC4049">
        <w:rPr>
          <w:b/>
          <w:bCs/>
          <w:i/>
          <w:iCs/>
          <w:sz w:val="22"/>
          <w:szCs w:val="22"/>
        </w:rPr>
        <w:t>dokumenty</w:t>
      </w:r>
      <w:r w:rsidRPr="009177FB">
        <w:rPr>
          <w:b/>
          <w:bCs/>
          <w:i/>
          <w:iCs/>
          <w:sz w:val="22"/>
          <w:szCs w:val="22"/>
        </w:rPr>
        <w:t xml:space="preserve"> se rozumí:</w:t>
      </w:r>
    </w:p>
    <w:p w14:paraId="2D3FD012" w14:textId="487DB5F0" w:rsidR="00B85FD1" w:rsidRPr="009177FB" w:rsidRDefault="00750555" w:rsidP="000F512B">
      <w:pPr>
        <w:spacing w:after="120"/>
        <w:ind w:left="284"/>
        <w:jc w:val="both"/>
        <w:rPr>
          <w:rFonts w:ascii="Arial" w:hAnsi="Arial" w:cs="Arial"/>
        </w:rPr>
      </w:pPr>
      <w:r w:rsidRPr="009177FB">
        <w:rPr>
          <w:rFonts w:ascii="Arial" w:hAnsi="Arial" w:cs="Arial"/>
        </w:rPr>
        <w:t xml:space="preserve">Doporučení tajemníka </w:t>
      </w:r>
      <w:r w:rsidR="006F296F" w:rsidRPr="009177FB">
        <w:rPr>
          <w:rFonts w:ascii="Arial" w:hAnsi="Arial" w:cs="Arial"/>
        </w:rPr>
        <w:t>MMJNN</w:t>
      </w:r>
      <w:r w:rsidR="00321FB3" w:rsidRPr="009177FB">
        <w:rPr>
          <w:rFonts w:ascii="Arial" w:hAnsi="Arial" w:cs="Arial"/>
        </w:rPr>
        <w:t xml:space="preserve"> v případě SMJNN</w:t>
      </w:r>
      <w:r w:rsidR="0070348D" w:rsidRPr="009177FB">
        <w:rPr>
          <w:rFonts w:ascii="Arial" w:hAnsi="Arial" w:cs="Arial"/>
        </w:rPr>
        <w:t>, nebo ředitele MP v případě MP,</w:t>
      </w:r>
      <w:r w:rsidRPr="009177FB">
        <w:rPr>
          <w:rFonts w:ascii="Arial" w:hAnsi="Arial" w:cs="Arial"/>
        </w:rPr>
        <w:t xml:space="preserve"> nebo statutárního zástupce právnické osoby </w:t>
      </w:r>
      <w:r w:rsidR="0070348D" w:rsidRPr="009177FB">
        <w:rPr>
          <w:rFonts w:ascii="Arial" w:hAnsi="Arial" w:cs="Arial"/>
        </w:rPr>
        <w:t>zřizované nebo zakládané</w:t>
      </w:r>
      <w:r w:rsidRPr="009177FB">
        <w:rPr>
          <w:rFonts w:ascii="Arial" w:hAnsi="Arial" w:cs="Arial"/>
        </w:rPr>
        <w:t xml:space="preserve"> </w:t>
      </w:r>
      <w:r w:rsidR="006F296F" w:rsidRPr="009177FB">
        <w:rPr>
          <w:rFonts w:ascii="Arial" w:hAnsi="Arial" w:cs="Arial"/>
        </w:rPr>
        <w:t>SMJNN</w:t>
      </w:r>
      <w:r w:rsidRPr="009177FB">
        <w:rPr>
          <w:rFonts w:ascii="Arial" w:hAnsi="Arial" w:cs="Arial"/>
        </w:rPr>
        <w:t xml:space="preserve">, </w:t>
      </w:r>
      <w:r w:rsidR="00F25EE0" w:rsidRPr="009177FB">
        <w:rPr>
          <w:rFonts w:ascii="Arial" w:hAnsi="Arial" w:cs="Arial"/>
        </w:rPr>
        <w:t xml:space="preserve">nebo </w:t>
      </w:r>
      <w:r w:rsidRPr="009177FB">
        <w:rPr>
          <w:rFonts w:ascii="Arial" w:hAnsi="Arial" w:cs="Arial"/>
        </w:rPr>
        <w:t xml:space="preserve">odpovědné osoby IZS působící na území </w:t>
      </w:r>
      <w:r w:rsidR="006F296F" w:rsidRPr="009177FB">
        <w:rPr>
          <w:rFonts w:ascii="Arial" w:hAnsi="Arial" w:cs="Arial"/>
        </w:rPr>
        <w:t>města Jablonec nad Nisou</w:t>
      </w:r>
      <w:r w:rsidR="00F25EE0" w:rsidRPr="009177FB">
        <w:rPr>
          <w:rFonts w:ascii="Arial" w:hAnsi="Arial" w:cs="Arial"/>
        </w:rPr>
        <w:t xml:space="preserve">, nebo </w:t>
      </w:r>
      <w:r w:rsidR="00703AEC" w:rsidRPr="00703AEC">
        <w:rPr>
          <w:rFonts w:ascii="Arial" w:hAnsi="Arial" w:cs="Arial"/>
        </w:rPr>
        <w:t>oprávněného zástupce organizace v ostatních případech</w:t>
      </w:r>
      <w:r w:rsidRPr="00703AEC">
        <w:rPr>
          <w:rFonts w:ascii="Arial" w:hAnsi="Arial" w:cs="Arial"/>
        </w:rPr>
        <w:t xml:space="preserve">. Doporučení </w:t>
      </w:r>
      <w:r w:rsidRPr="009177FB">
        <w:rPr>
          <w:rFonts w:ascii="Arial" w:hAnsi="Arial" w:cs="Arial"/>
        </w:rPr>
        <w:t xml:space="preserve">nesmí být starší 60 dnů ke dni podání žádosti; v této žádosti musí být prohlášení </w:t>
      </w:r>
      <w:r w:rsidRPr="009177FB">
        <w:rPr>
          <w:rFonts w:ascii="Arial" w:hAnsi="Arial" w:cs="Arial"/>
        </w:rPr>
        <w:lastRenderedPageBreak/>
        <w:t xml:space="preserve">zaměstnavatele, že neprodleně po ukončení pracovního, resp. služebního poměru žadatele informuje </w:t>
      </w:r>
      <w:proofErr w:type="spellStart"/>
      <w:r w:rsidR="006F296F" w:rsidRPr="009177FB">
        <w:rPr>
          <w:rFonts w:ascii="Arial" w:hAnsi="Arial" w:cs="Arial"/>
        </w:rPr>
        <w:t>KMB</w:t>
      </w:r>
      <w:r w:rsidR="00AC6370">
        <w:rPr>
          <w:rFonts w:ascii="Arial" w:hAnsi="Arial" w:cs="Arial"/>
        </w:rPr>
        <w:t>aSP</w:t>
      </w:r>
      <w:proofErr w:type="spellEnd"/>
      <w:r w:rsidRPr="009177FB">
        <w:rPr>
          <w:rFonts w:ascii="Arial" w:hAnsi="Arial" w:cs="Arial"/>
        </w:rPr>
        <w:t>, že pominul pracovní, resp. služební poměr žadatele.</w:t>
      </w:r>
    </w:p>
    <w:p w14:paraId="42F44C3F" w14:textId="13FFFC21" w:rsidR="00750555" w:rsidRPr="00BE6139" w:rsidRDefault="00750555" w:rsidP="00022BF2">
      <w:pPr>
        <w:pStyle w:val="Default"/>
        <w:jc w:val="center"/>
      </w:pPr>
      <w:r w:rsidRPr="00BE6139">
        <w:rPr>
          <w:b/>
          <w:bCs/>
        </w:rPr>
        <w:t xml:space="preserve">Článek </w:t>
      </w:r>
      <w:r w:rsidR="00BC4049">
        <w:rPr>
          <w:b/>
          <w:bCs/>
        </w:rPr>
        <w:t>3</w:t>
      </w:r>
    </w:p>
    <w:p w14:paraId="311DD5CB" w14:textId="49C800D4" w:rsidR="00750555" w:rsidRPr="00BE6139" w:rsidRDefault="00750555" w:rsidP="00022BF2">
      <w:pPr>
        <w:pStyle w:val="Default"/>
        <w:jc w:val="center"/>
        <w:rPr>
          <w:b/>
          <w:bCs/>
        </w:rPr>
      </w:pPr>
      <w:r w:rsidRPr="00BE6139">
        <w:rPr>
          <w:b/>
          <w:bCs/>
        </w:rPr>
        <w:t>Důvody k nezařazení žádosti</w:t>
      </w:r>
    </w:p>
    <w:p w14:paraId="629F6653" w14:textId="77777777" w:rsidR="006F296F" w:rsidRPr="009177FB" w:rsidRDefault="006F296F" w:rsidP="00022BF2">
      <w:pPr>
        <w:pStyle w:val="Default"/>
        <w:jc w:val="center"/>
        <w:rPr>
          <w:sz w:val="22"/>
          <w:szCs w:val="22"/>
        </w:rPr>
      </w:pPr>
    </w:p>
    <w:p w14:paraId="609F9C78" w14:textId="3FC1D04D" w:rsidR="00750555" w:rsidRPr="009177FB" w:rsidRDefault="00750555" w:rsidP="00C61C17">
      <w:pPr>
        <w:pStyle w:val="Default"/>
        <w:numPr>
          <w:ilvl w:val="0"/>
          <w:numId w:val="3"/>
        </w:numPr>
        <w:spacing w:after="120"/>
        <w:ind w:left="284"/>
        <w:jc w:val="both"/>
        <w:rPr>
          <w:sz w:val="22"/>
          <w:szCs w:val="22"/>
        </w:rPr>
      </w:pPr>
      <w:r w:rsidRPr="009177FB">
        <w:rPr>
          <w:sz w:val="22"/>
          <w:szCs w:val="22"/>
        </w:rPr>
        <w:t>Žadatel nebo jiná osoba, která s ním sdílí domácnost, je vlastníkem nebo spoluvlastníkem nemovitého majetku určeného k bydlení, případně nájemcem družstevního bytu</w:t>
      </w:r>
      <w:r w:rsidR="00F25EE0" w:rsidRPr="009177FB">
        <w:rPr>
          <w:sz w:val="22"/>
          <w:szCs w:val="22"/>
        </w:rPr>
        <w:t xml:space="preserve"> v pozici družstevníka</w:t>
      </w:r>
      <w:r w:rsidRPr="009177FB">
        <w:rPr>
          <w:sz w:val="22"/>
          <w:szCs w:val="22"/>
        </w:rPr>
        <w:t xml:space="preserve">, na území </w:t>
      </w:r>
      <w:r w:rsidR="006F296F" w:rsidRPr="009177FB">
        <w:rPr>
          <w:sz w:val="22"/>
          <w:szCs w:val="22"/>
        </w:rPr>
        <w:t>Libereckého</w:t>
      </w:r>
      <w:r w:rsidRPr="009177FB">
        <w:rPr>
          <w:sz w:val="22"/>
          <w:szCs w:val="22"/>
        </w:rPr>
        <w:t xml:space="preserve"> kraje (vyjma případů, kdy na žadateli nebo jiné osobě nelze spravedlivě požadovat, aby užívali pouze jeden byt – v takovém případě může být navýšena výše sazby nájemného). V případě spoluvlastnictví nemovitosti určené k bydlení mimo území </w:t>
      </w:r>
      <w:r w:rsidR="006F296F" w:rsidRPr="009177FB">
        <w:rPr>
          <w:sz w:val="22"/>
          <w:szCs w:val="22"/>
        </w:rPr>
        <w:t xml:space="preserve">Libereckého kraje </w:t>
      </w:r>
      <w:r w:rsidRPr="009177FB">
        <w:rPr>
          <w:sz w:val="22"/>
          <w:szCs w:val="22"/>
        </w:rPr>
        <w:t>je</w:t>
      </w:r>
      <w:r w:rsidR="00755589">
        <w:rPr>
          <w:sz w:val="22"/>
          <w:szCs w:val="22"/>
        </w:rPr>
        <w:t xml:space="preserve"> </w:t>
      </w:r>
      <w:r w:rsidRPr="009177FB">
        <w:rPr>
          <w:sz w:val="22"/>
          <w:szCs w:val="22"/>
        </w:rPr>
        <w:t>na</w:t>
      </w:r>
      <w:r w:rsidR="00755589">
        <w:rPr>
          <w:sz w:val="22"/>
          <w:szCs w:val="22"/>
        </w:rPr>
        <w:t> </w:t>
      </w:r>
      <w:r w:rsidRPr="009177FB">
        <w:rPr>
          <w:sz w:val="22"/>
          <w:szCs w:val="22"/>
        </w:rPr>
        <w:t xml:space="preserve">dalším zvážení </w:t>
      </w:r>
      <w:r w:rsidR="00541D54" w:rsidRPr="009177FB">
        <w:rPr>
          <w:sz w:val="22"/>
          <w:szCs w:val="22"/>
        </w:rPr>
        <w:t>Poradního sboru</w:t>
      </w:r>
      <w:r w:rsidRPr="009177FB">
        <w:rPr>
          <w:sz w:val="22"/>
          <w:szCs w:val="22"/>
        </w:rPr>
        <w:t>, zda žadatele do pořadníku zařadí (posoudí, zda lze nebo nelze spravedlivě požadovat užívání pouze jednoho bytu).</w:t>
      </w:r>
    </w:p>
    <w:p w14:paraId="1439DC7A" w14:textId="3903E815" w:rsidR="00AC6370" w:rsidRDefault="00750555" w:rsidP="00C61C17">
      <w:pPr>
        <w:pStyle w:val="Default"/>
        <w:numPr>
          <w:ilvl w:val="0"/>
          <w:numId w:val="3"/>
        </w:numPr>
        <w:spacing w:after="120"/>
        <w:ind w:left="284" w:hanging="357"/>
        <w:jc w:val="both"/>
        <w:rPr>
          <w:sz w:val="22"/>
          <w:szCs w:val="22"/>
        </w:rPr>
      </w:pPr>
      <w:r w:rsidRPr="009177FB">
        <w:rPr>
          <w:sz w:val="22"/>
          <w:szCs w:val="22"/>
        </w:rPr>
        <w:t xml:space="preserve">Žadatel či člen jeho domácnosti má dluhy vůči </w:t>
      </w:r>
      <w:r w:rsidR="006F296F" w:rsidRPr="009177FB">
        <w:rPr>
          <w:sz w:val="22"/>
          <w:szCs w:val="22"/>
        </w:rPr>
        <w:t>městu Jablonec nad Nisou</w:t>
      </w:r>
      <w:r w:rsidRPr="009177FB">
        <w:rPr>
          <w:sz w:val="22"/>
          <w:szCs w:val="22"/>
        </w:rPr>
        <w:t xml:space="preserve"> (s výjimkou případů, kdy žadatel uzavřel dohodu o uhrazení dluhu ve splátkách, kterou řádně plní) anebo měl v minulosti dluhy vůči </w:t>
      </w:r>
      <w:r w:rsidR="006F296F" w:rsidRPr="009177FB">
        <w:rPr>
          <w:sz w:val="22"/>
          <w:szCs w:val="22"/>
        </w:rPr>
        <w:t>městu Jablonec nad Nisou,</w:t>
      </w:r>
      <w:r w:rsidRPr="009177FB">
        <w:rPr>
          <w:sz w:val="22"/>
          <w:szCs w:val="22"/>
        </w:rPr>
        <w:t xml:space="preserve"> které byly vymáhány prostřednictvím exekučního řízení, jež bylo zastaveno (tj. skončilo z jiného důvodu než vymožením dluhu včetně příslušenství).</w:t>
      </w:r>
    </w:p>
    <w:p w14:paraId="66428B9F" w14:textId="7E12043F" w:rsidR="00750555" w:rsidRPr="009177FB" w:rsidRDefault="00750555" w:rsidP="00750555">
      <w:pPr>
        <w:pStyle w:val="Default"/>
        <w:jc w:val="both"/>
        <w:rPr>
          <w:sz w:val="22"/>
          <w:szCs w:val="22"/>
        </w:rPr>
      </w:pPr>
      <w:r w:rsidRPr="009177FB">
        <w:rPr>
          <w:sz w:val="22"/>
          <w:szCs w:val="22"/>
        </w:rPr>
        <w:t xml:space="preserve"> </w:t>
      </w:r>
    </w:p>
    <w:p w14:paraId="0BD46129" w14:textId="39535F31" w:rsidR="00750555" w:rsidRPr="00BE6139" w:rsidRDefault="00750555" w:rsidP="00022BF2">
      <w:pPr>
        <w:pStyle w:val="Default"/>
        <w:jc w:val="center"/>
      </w:pPr>
      <w:r w:rsidRPr="00BE6139">
        <w:rPr>
          <w:b/>
          <w:bCs/>
        </w:rPr>
        <w:t xml:space="preserve">Článek </w:t>
      </w:r>
      <w:r w:rsidR="00BC4049">
        <w:rPr>
          <w:b/>
          <w:bCs/>
        </w:rPr>
        <w:t>4</w:t>
      </w:r>
    </w:p>
    <w:p w14:paraId="6DA01658" w14:textId="51F421AC" w:rsidR="00750555" w:rsidRPr="00BE6139" w:rsidRDefault="00750555" w:rsidP="00022BF2">
      <w:pPr>
        <w:pStyle w:val="Default"/>
        <w:jc w:val="center"/>
        <w:rPr>
          <w:b/>
          <w:bCs/>
        </w:rPr>
      </w:pPr>
      <w:r w:rsidRPr="00BE6139">
        <w:rPr>
          <w:b/>
          <w:bCs/>
        </w:rPr>
        <w:t>Důvody k vyřazení z evidence žadatele</w:t>
      </w:r>
    </w:p>
    <w:p w14:paraId="59AB3978" w14:textId="77777777" w:rsidR="0012393B" w:rsidRPr="009177FB" w:rsidRDefault="0012393B" w:rsidP="00022BF2">
      <w:pPr>
        <w:pStyle w:val="Default"/>
        <w:jc w:val="center"/>
        <w:rPr>
          <w:sz w:val="22"/>
          <w:szCs w:val="22"/>
        </w:rPr>
      </w:pPr>
    </w:p>
    <w:p w14:paraId="31860D81" w14:textId="2F73D997" w:rsidR="00750555" w:rsidRPr="009177FB" w:rsidRDefault="00CC01F9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50555" w:rsidRPr="009177FB">
        <w:rPr>
          <w:sz w:val="22"/>
          <w:szCs w:val="22"/>
        </w:rPr>
        <w:t>jištění, že žadatel uvedl nepravdivé informace</w:t>
      </w:r>
      <w:r>
        <w:rPr>
          <w:sz w:val="22"/>
          <w:szCs w:val="22"/>
        </w:rPr>
        <w:t>.</w:t>
      </w:r>
    </w:p>
    <w:p w14:paraId="7EC0D81D" w14:textId="337CA349" w:rsidR="00750555" w:rsidRPr="009177FB" w:rsidRDefault="00CC01F9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750555" w:rsidRPr="009177FB">
        <w:rPr>
          <w:sz w:val="22"/>
          <w:szCs w:val="22"/>
        </w:rPr>
        <w:t>adatel podá neúplnou žádost, kterou ani po vyzvání nedoplní</w:t>
      </w:r>
      <w:r>
        <w:rPr>
          <w:sz w:val="22"/>
          <w:szCs w:val="22"/>
        </w:rPr>
        <w:t>.</w:t>
      </w:r>
    </w:p>
    <w:p w14:paraId="472FD0F6" w14:textId="2CBA1513" w:rsidR="00750555" w:rsidRPr="009177FB" w:rsidRDefault="00CC01F9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0555" w:rsidRPr="009177FB">
        <w:rPr>
          <w:sz w:val="22"/>
          <w:szCs w:val="22"/>
        </w:rPr>
        <w:t>ominou důvody, pro které byl žadatel zařazen do evidence</w:t>
      </w:r>
      <w:r>
        <w:rPr>
          <w:sz w:val="22"/>
          <w:szCs w:val="22"/>
        </w:rPr>
        <w:t>.</w:t>
      </w:r>
    </w:p>
    <w:p w14:paraId="10705419" w14:textId="73FB579F" w:rsidR="00750555" w:rsidRPr="009177FB" w:rsidRDefault="00CC01F9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0555" w:rsidRPr="009177FB">
        <w:rPr>
          <w:sz w:val="22"/>
          <w:szCs w:val="22"/>
        </w:rPr>
        <w:t>o podání žádosti nastane některá z okolností vyjmenovaných v čl. 2</w:t>
      </w:r>
      <w:r>
        <w:rPr>
          <w:sz w:val="22"/>
          <w:szCs w:val="22"/>
        </w:rPr>
        <w:t>.</w:t>
      </w:r>
      <w:r w:rsidR="00750555" w:rsidRPr="009177FB">
        <w:rPr>
          <w:sz w:val="22"/>
          <w:szCs w:val="22"/>
        </w:rPr>
        <w:t xml:space="preserve"> </w:t>
      </w:r>
    </w:p>
    <w:p w14:paraId="4056F7AF" w14:textId="235599F3" w:rsidR="00750555" w:rsidRPr="009177FB" w:rsidRDefault="004C64E5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Pokud</w:t>
      </w:r>
      <w:r w:rsidR="00750555" w:rsidRPr="009177FB">
        <w:rPr>
          <w:sz w:val="22"/>
          <w:szCs w:val="22"/>
        </w:rPr>
        <w:t xml:space="preserve"> žadatel opakovaně </w:t>
      </w:r>
      <w:r>
        <w:rPr>
          <w:sz w:val="22"/>
          <w:szCs w:val="22"/>
        </w:rPr>
        <w:t xml:space="preserve">odmítne </w:t>
      </w:r>
      <w:r w:rsidR="00750555" w:rsidRPr="009177FB">
        <w:rPr>
          <w:sz w:val="22"/>
          <w:szCs w:val="22"/>
        </w:rPr>
        <w:t>nabízený byt z neobjektivních důvodů</w:t>
      </w:r>
      <w:r w:rsidR="00CC01F9">
        <w:rPr>
          <w:sz w:val="22"/>
          <w:szCs w:val="22"/>
        </w:rPr>
        <w:t>.</w:t>
      </w:r>
      <w:r w:rsidR="00750555" w:rsidRPr="009177FB">
        <w:rPr>
          <w:sz w:val="22"/>
          <w:szCs w:val="22"/>
        </w:rPr>
        <w:t xml:space="preserve"> </w:t>
      </w:r>
    </w:p>
    <w:p w14:paraId="6368BBAE" w14:textId="5DE35757" w:rsidR="00750555" w:rsidRPr="009177FB" w:rsidRDefault="004C64E5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Pokud</w:t>
      </w:r>
      <w:r w:rsidR="00750555" w:rsidRPr="009177FB">
        <w:rPr>
          <w:sz w:val="22"/>
          <w:szCs w:val="22"/>
        </w:rPr>
        <w:t xml:space="preserve"> žadatel </w:t>
      </w:r>
      <w:r>
        <w:rPr>
          <w:sz w:val="22"/>
          <w:szCs w:val="22"/>
        </w:rPr>
        <w:t xml:space="preserve">odmítne </w:t>
      </w:r>
      <w:r w:rsidR="00750555" w:rsidRPr="009177FB">
        <w:rPr>
          <w:sz w:val="22"/>
          <w:szCs w:val="22"/>
        </w:rPr>
        <w:t xml:space="preserve">uzavřít </w:t>
      </w:r>
      <w:r w:rsidR="009528B7">
        <w:rPr>
          <w:sz w:val="22"/>
          <w:szCs w:val="22"/>
        </w:rPr>
        <w:t>NS</w:t>
      </w:r>
      <w:r w:rsidR="00750555" w:rsidRPr="009177FB">
        <w:rPr>
          <w:sz w:val="22"/>
          <w:szCs w:val="22"/>
        </w:rPr>
        <w:t xml:space="preserve"> po schválení uzavření </w:t>
      </w:r>
      <w:r w:rsidR="009528B7">
        <w:rPr>
          <w:sz w:val="22"/>
          <w:szCs w:val="22"/>
        </w:rPr>
        <w:t xml:space="preserve">NS </w:t>
      </w:r>
      <w:r w:rsidR="00750555" w:rsidRPr="009177FB">
        <w:rPr>
          <w:sz w:val="22"/>
          <w:szCs w:val="22"/>
        </w:rPr>
        <w:t xml:space="preserve">Radou </w:t>
      </w:r>
      <w:r w:rsidR="00CC4F4E">
        <w:rPr>
          <w:sz w:val="22"/>
          <w:szCs w:val="22"/>
        </w:rPr>
        <w:t>SMJNN</w:t>
      </w:r>
      <w:r w:rsidR="00CC01F9">
        <w:rPr>
          <w:sz w:val="22"/>
          <w:szCs w:val="22"/>
        </w:rPr>
        <w:t>.</w:t>
      </w:r>
    </w:p>
    <w:p w14:paraId="43F4EA83" w14:textId="17D66FF2" w:rsidR="00750555" w:rsidRPr="009177FB" w:rsidRDefault="00CC01F9" w:rsidP="00CC01F9">
      <w:pPr>
        <w:pStyle w:val="Default"/>
        <w:numPr>
          <w:ilvl w:val="0"/>
          <w:numId w:val="1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0555" w:rsidRPr="009177FB">
        <w:rPr>
          <w:sz w:val="22"/>
          <w:szCs w:val="22"/>
        </w:rPr>
        <w:t xml:space="preserve">o uplynutí 1 roku </w:t>
      </w:r>
      <w:r w:rsidR="004D1F67" w:rsidRPr="009177FB">
        <w:rPr>
          <w:sz w:val="22"/>
          <w:szCs w:val="22"/>
        </w:rPr>
        <w:t>ode dne podání žádosti</w:t>
      </w:r>
      <w:r w:rsidR="00BC4049">
        <w:rPr>
          <w:sz w:val="22"/>
          <w:szCs w:val="22"/>
        </w:rPr>
        <w:t>, pokud nebude do té doby uzavřena NS,</w:t>
      </w:r>
      <w:r w:rsidR="004D1F67" w:rsidRPr="009177FB">
        <w:rPr>
          <w:sz w:val="22"/>
          <w:szCs w:val="22"/>
        </w:rPr>
        <w:t xml:space="preserve"> </w:t>
      </w:r>
      <w:r w:rsidR="00750555" w:rsidRPr="009177FB">
        <w:rPr>
          <w:sz w:val="22"/>
          <w:szCs w:val="22"/>
        </w:rPr>
        <w:t>bude žadatel vyzván k</w:t>
      </w:r>
      <w:r w:rsidR="00BC4049">
        <w:rPr>
          <w:sz w:val="22"/>
          <w:szCs w:val="22"/>
        </w:rPr>
        <w:t> </w:t>
      </w:r>
      <w:r w:rsidR="00750555" w:rsidRPr="009177FB">
        <w:rPr>
          <w:sz w:val="22"/>
          <w:szCs w:val="22"/>
        </w:rPr>
        <w:t>aktualizaci</w:t>
      </w:r>
      <w:r w:rsidR="00BC4049">
        <w:rPr>
          <w:sz w:val="22"/>
          <w:szCs w:val="22"/>
        </w:rPr>
        <w:t>;</w:t>
      </w:r>
      <w:r w:rsidR="00750555" w:rsidRPr="009177FB">
        <w:rPr>
          <w:sz w:val="22"/>
          <w:szCs w:val="22"/>
        </w:rPr>
        <w:t xml:space="preserve"> </w:t>
      </w:r>
      <w:r w:rsidR="00BC4049">
        <w:rPr>
          <w:sz w:val="22"/>
          <w:szCs w:val="22"/>
        </w:rPr>
        <w:t>p</w:t>
      </w:r>
      <w:r w:rsidR="00750555" w:rsidRPr="009177FB">
        <w:rPr>
          <w:sz w:val="22"/>
          <w:szCs w:val="22"/>
        </w:rPr>
        <w:t>okud od vyzvání do 60 dnů žadatel žádost neaktualizuje, bude informován dopisem a následně vyřazen.</w:t>
      </w:r>
    </w:p>
    <w:p w14:paraId="25D57770" w14:textId="77777777" w:rsidR="00750555" w:rsidRPr="009177FB" w:rsidRDefault="00750555" w:rsidP="00750555">
      <w:pPr>
        <w:pStyle w:val="Default"/>
        <w:jc w:val="both"/>
        <w:rPr>
          <w:sz w:val="22"/>
          <w:szCs w:val="22"/>
        </w:rPr>
      </w:pPr>
    </w:p>
    <w:p w14:paraId="0953C0FC" w14:textId="60A79144" w:rsidR="00750555" w:rsidRPr="00BE6139" w:rsidRDefault="00750555" w:rsidP="00022BF2">
      <w:pPr>
        <w:pStyle w:val="Default"/>
        <w:jc w:val="center"/>
      </w:pPr>
      <w:r w:rsidRPr="00BE6139">
        <w:rPr>
          <w:b/>
          <w:bCs/>
        </w:rPr>
        <w:t xml:space="preserve">Článek </w:t>
      </w:r>
      <w:r w:rsidR="00BC4049">
        <w:rPr>
          <w:b/>
          <w:bCs/>
        </w:rPr>
        <w:t>5</w:t>
      </w:r>
    </w:p>
    <w:p w14:paraId="6D1F26FC" w14:textId="18D48E86" w:rsidR="00750555" w:rsidRPr="00BE6139" w:rsidRDefault="00750555" w:rsidP="00022BF2">
      <w:pPr>
        <w:pStyle w:val="Default"/>
        <w:jc w:val="center"/>
        <w:rPr>
          <w:b/>
          <w:bCs/>
        </w:rPr>
      </w:pPr>
      <w:r w:rsidRPr="00BE6139">
        <w:rPr>
          <w:b/>
          <w:bCs/>
        </w:rPr>
        <w:t>Postup schvalování žádosti</w:t>
      </w:r>
    </w:p>
    <w:p w14:paraId="543716DE" w14:textId="77777777" w:rsidR="0012393B" w:rsidRPr="009177FB" w:rsidRDefault="0012393B" w:rsidP="00022BF2">
      <w:pPr>
        <w:pStyle w:val="Default"/>
        <w:jc w:val="center"/>
        <w:rPr>
          <w:sz w:val="22"/>
          <w:szCs w:val="22"/>
        </w:rPr>
      </w:pPr>
    </w:p>
    <w:p w14:paraId="5F278E87" w14:textId="0960EC66" w:rsidR="00750555" w:rsidRPr="009177FB" w:rsidRDefault="00750555" w:rsidP="00CC01F9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9177FB">
        <w:rPr>
          <w:color w:val="auto"/>
          <w:sz w:val="22"/>
          <w:szCs w:val="22"/>
        </w:rPr>
        <w:t xml:space="preserve">Žadatel vyplní </w:t>
      </w:r>
      <w:r w:rsidRPr="009177FB">
        <w:rPr>
          <w:i/>
          <w:iCs/>
          <w:color w:val="auto"/>
          <w:sz w:val="22"/>
          <w:szCs w:val="22"/>
        </w:rPr>
        <w:t xml:space="preserve">Žádost o </w:t>
      </w:r>
      <w:r w:rsidR="00541D54" w:rsidRPr="009177FB">
        <w:rPr>
          <w:i/>
          <w:iCs/>
          <w:color w:val="auto"/>
          <w:sz w:val="22"/>
          <w:szCs w:val="22"/>
        </w:rPr>
        <w:t xml:space="preserve">byt v obecním zájmu </w:t>
      </w:r>
      <w:r w:rsidR="0012393B" w:rsidRPr="009177FB">
        <w:rPr>
          <w:i/>
          <w:iCs/>
          <w:color w:val="auto"/>
          <w:sz w:val="22"/>
          <w:szCs w:val="22"/>
        </w:rPr>
        <w:t>města Jablonec nad Nisou</w:t>
      </w:r>
      <w:r w:rsidRPr="009177FB">
        <w:rPr>
          <w:color w:val="auto"/>
          <w:sz w:val="22"/>
          <w:szCs w:val="22"/>
        </w:rPr>
        <w:t xml:space="preserve"> na</w:t>
      </w:r>
      <w:r w:rsidR="00755589">
        <w:rPr>
          <w:color w:val="auto"/>
          <w:sz w:val="22"/>
          <w:szCs w:val="22"/>
        </w:rPr>
        <w:t> </w:t>
      </w:r>
      <w:r w:rsidRPr="009177FB">
        <w:rPr>
          <w:color w:val="auto"/>
          <w:sz w:val="22"/>
          <w:szCs w:val="22"/>
        </w:rPr>
        <w:t xml:space="preserve">předepsaném formuláři a odevzdá ji do </w:t>
      </w:r>
      <w:proofErr w:type="spellStart"/>
      <w:r w:rsidRPr="009177FB">
        <w:rPr>
          <w:color w:val="auto"/>
          <w:sz w:val="22"/>
          <w:szCs w:val="22"/>
        </w:rPr>
        <w:t>KMB</w:t>
      </w:r>
      <w:r w:rsidR="007E45E7">
        <w:rPr>
          <w:color w:val="auto"/>
          <w:sz w:val="22"/>
          <w:szCs w:val="22"/>
        </w:rPr>
        <w:t>aSP</w:t>
      </w:r>
      <w:proofErr w:type="spellEnd"/>
      <w:r w:rsidRPr="009177FB">
        <w:rPr>
          <w:color w:val="auto"/>
          <w:sz w:val="22"/>
          <w:szCs w:val="22"/>
        </w:rPr>
        <w:t xml:space="preserve"> včetně doporučení (viz článek </w:t>
      </w:r>
      <w:r w:rsidR="00BC4049">
        <w:rPr>
          <w:color w:val="auto"/>
          <w:sz w:val="22"/>
          <w:szCs w:val="22"/>
        </w:rPr>
        <w:t>2</w:t>
      </w:r>
      <w:r w:rsidRPr="009177FB">
        <w:rPr>
          <w:color w:val="auto"/>
          <w:sz w:val="22"/>
          <w:szCs w:val="22"/>
        </w:rPr>
        <w:t xml:space="preserve">, </w:t>
      </w:r>
      <w:r w:rsidR="00BC4049">
        <w:rPr>
          <w:color w:val="auto"/>
          <w:sz w:val="22"/>
          <w:szCs w:val="22"/>
        </w:rPr>
        <w:t>odst</w:t>
      </w:r>
      <w:r w:rsidRPr="009177FB">
        <w:rPr>
          <w:color w:val="auto"/>
          <w:sz w:val="22"/>
          <w:szCs w:val="22"/>
        </w:rPr>
        <w:t xml:space="preserve">. </w:t>
      </w:r>
      <w:r w:rsidR="00BC4049">
        <w:rPr>
          <w:color w:val="auto"/>
          <w:sz w:val="22"/>
          <w:szCs w:val="22"/>
        </w:rPr>
        <w:t>4</w:t>
      </w:r>
      <w:r w:rsidRPr="009177FB">
        <w:rPr>
          <w:color w:val="auto"/>
          <w:sz w:val="22"/>
          <w:szCs w:val="22"/>
        </w:rPr>
        <w:t>).</w:t>
      </w:r>
    </w:p>
    <w:p w14:paraId="0B93A9FD" w14:textId="1A909EE6" w:rsidR="00750555" w:rsidRPr="00BD76E3" w:rsidRDefault="00750555" w:rsidP="00CC01F9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9177FB">
        <w:rPr>
          <w:color w:val="auto"/>
          <w:sz w:val="22"/>
          <w:szCs w:val="22"/>
        </w:rPr>
        <w:t xml:space="preserve">Žádost je zařazena do pořadníku </w:t>
      </w:r>
      <w:r w:rsidR="00541D54" w:rsidRPr="009177FB">
        <w:rPr>
          <w:color w:val="auto"/>
          <w:sz w:val="22"/>
          <w:szCs w:val="22"/>
        </w:rPr>
        <w:t>BOZ</w:t>
      </w:r>
      <w:r w:rsidRPr="009177FB">
        <w:rPr>
          <w:color w:val="auto"/>
          <w:sz w:val="22"/>
          <w:szCs w:val="22"/>
        </w:rPr>
        <w:t xml:space="preserve">, který je veden dle jednotlivých typů organizací. V rámci pořadníku pro jednotlivé organizace rozhoduje o prioritizaci žadatelů </w:t>
      </w:r>
      <w:r w:rsidR="00594352" w:rsidRPr="009177FB">
        <w:rPr>
          <w:color w:val="auto"/>
          <w:sz w:val="22"/>
          <w:szCs w:val="22"/>
        </w:rPr>
        <w:t xml:space="preserve">doporučující pracovník (viz článek </w:t>
      </w:r>
      <w:r w:rsidR="00BC4049">
        <w:rPr>
          <w:color w:val="auto"/>
          <w:sz w:val="22"/>
          <w:szCs w:val="22"/>
        </w:rPr>
        <w:t>2</w:t>
      </w:r>
      <w:r w:rsidR="00594352" w:rsidRPr="009177FB">
        <w:rPr>
          <w:color w:val="auto"/>
          <w:sz w:val="22"/>
          <w:szCs w:val="22"/>
        </w:rPr>
        <w:t xml:space="preserve">, </w:t>
      </w:r>
      <w:r w:rsidR="00BC4049">
        <w:rPr>
          <w:color w:val="auto"/>
          <w:sz w:val="22"/>
          <w:szCs w:val="22"/>
        </w:rPr>
        <w:t>odst. 4</w:t>
      </w:r>
      <w:r w:rsidR="00594352" w:rsidRPr="009177FB">
        <w:rPr>
          <w:color w:val="auto"/>
          <w:sz w:val="22"/>
          <w:szCs w:val="22"/>
        </w:rPr>
        <w:t>)</w:t>
      </w:r>
      <w:r w:rsidRPr="009177FB">
        <w:rPr>
          <w:color w:val="auto"/>
          <w:sz w:val="22"/>
          <w:szCs w:val="22"/>
        </w:rPr>
        <w:t>. Nadřízení pracovníci jednotlivých organizací současně zasílají</w:t>
      </w:r>
      <w:r w:rsidR="00541D54" w:rsidRPr="009177FB">
        <w:rPr>
          <w:color w:val="auto"/>
          <w:sz w:val="22"/>
          <w:szCs w:val="22"/>
        </w:rPr>
        <w:t xml:space="preserve"> </w:t>
      </w:r>
      <w:r w:rsidRPr="009177FB">
        <w:rPr>
          <w:color w:val="auto"/>
          <w:sz w:val="22"/>
          <w:szCs w:val="22"/>
        </w:rPr>
        <w:t xml:space="preserve">na </w:t>
      </w:r>
      <w:r w:rsidRPr="00BD76E3">
        <w:rPr>
          <w:color w:val="auto"/>
          <w:sz w:val="22"/>
          <w:szCs w:val="22"/>
        </w:rPr>
        <w:t xml:space="preserve">vyžádání </w:t>
      </w:r>
      <w:r w:rsidR="00BC4049" w:rsidRPr="00BD76E3">
        <w:rPr>
          <w:color w:val="auto"/>
          <w:sz w:val="22"/>
          <w:szCs w:val="22"/>
        </w:rPr>
        <w:t>p</w:t>
      </w:r>
      <w:r w:rsidRPr="00BD76E3">
        <w:rPr>
          <w:color w:val="auto"/>
          <w:sz w:val="22"/>
          <w:szCs w:val="22"/>
        </w:rPr>
        <w:t xml:space="preserve">racovníkovi </w:t>
      </w:r>
      <w:proofErr w:type="spellStart"/>
      <w:r w:rsidRPr="00BD76E3">
        <w:rPr>
          <w:color w:val="auto"/>
          <w:sz w:val="22"/>
          <w:szCs w:val="22"/>
        </w:rPr>
        <w:t>KMB</w:t>
      </w:r>
      <w:r w:rsidR="007E45E7" w:rsidRPr="00BD76E3">
        <w:rPr>
          <w:color w:val="auto"/>
          <w:sz w:val="22"/>
          <w:szCs w:val="22"/>
        </w:rPr>
        <w:t>aSP</w:t>
      </w:r>
      <w:proofErr w:type="spellEnd"/>
      <w:r w:rsidR="007E45E7" w:rsidRPr="00BD76E3">
        <w:rPr>
          <w:color w:val="auto"/>
          <w:sz w:val="22"/>
          <w:szCs w:val="22"/>
        </w:rPr>
        <w:t xml:space="preserve"> </w:t>
      </w:r>
      <w:r w:rsidRPr="00BD76E3">
        <w:rPr>
          <w:color w:val="auto"/>
          <w:sz w:val="22"/>
          <w:szCs w:val="22"/>
        </w:rPr>
        <w:t xml:space="preserve">aktualizovanou evidenci žadatelů o </w:t>
      </w:r>
      <w:r w:rsidR="00541D54" w:rsidRPr="00BD76E3">
        <w:rPr>
          <w:color w:val="auto"/>
          <w:sz w:val="22"/>
          <w:szCs w:val="22"/>
        </w:rPr>
        <w:t>byt v obecním zájmu</w:t>
      </w:r>
      <w:r w:rsidRPr="00BD76E3">
        <w:rPr>
          <w:color w:val="auto"/>
          <w:sz w:val="22"/>
          <w:szCs w:val="22"/>
        </w:rPr>
        <w:t xml:space="preserve"> byt, která bude sloužit </w:t>
      </w:r>
      <w:r w:rsidR="00FF19E7" w:rsidRPr="00BD76E3">
        <w:rPr>
          <w:color w:val="auto"/>
          <w:sz w:val="22"/>
          <w:szCs w:val="22"/>
        </w:rPr>
        <w:t>Poradnímu sboru pro bytové záležitosti (dále jen „</w:t>
      </w:r>
      <w:r w:rsidR="00541D54" w:rsidRPr="00BD76E3">
        <w:rPr>
          <w:color w:val="auto"/>
          <w:sz w:val="22"/>
          <w:szCs w:val="22"/>
        </w:rPr>
        <w:t>PS</w:t>
      </w:r>
      <w:r w:rsidR="00BC4049" w:rsidRPr="00BD76E3">
        <w:rPr>
          <w:color w:val="auto"/>
          <w:sz w:val="22"/>
          <w:szCs w:val="22"/>
        </w:rPr>
        <w:t>BZ</w:t>
      </w:r>
      <w:r w:rsidR="00FF19E7" w:rsidRPr="00BD76E3">
        <w:rPr>
          <w:color w:val="auto"/>
          <w:sz w:val="22"/>
          <w:szCs w:val="22"/>
        </w:rPr>
        <w:t>“)</w:t>
      </w:r>
      <w:r w:rsidRPr="00BD76E3">
        <w:rPr>
          <w:color w:val="auto"/>
          <w:sz w:val="22"/>
          <w:szCs w:val="22"/>
        </w:rPr>
        <w:t xml:space="preserve"> jako pomocný nástroj, včetně uvedení aktuálního počtu svých zaměstnanců.</w:t>
      </w:r>
    </w:p>
    <w:p w14:paraId="1DD02875" w14:textId="2C279237" w:rsidR="00FF19E7" w:rsidRPr="00BD76E3" w:rsidRDefault="00FF19E7" w:rsidP="00CC01F9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lastRenderedPageBreak/>
        <w:t>Aktuální žádosti projedná PSBZ na svém zasedání a doporučí žadatele k uzavření nájemní smlouvy Radě SMJNN</w:t>
      </w:r>
      <w:r w:rsidR="0035499C" w:rsidRPr="00BD76E3">
        <w:rPr>
          <w:color w:val="auto"/>
          <w:sz w:val="22"/>
          <w:szCs w:val="22"/>
        </w:rPr>
        <w:t>, v případě více žadatelů na jeden volný byt stanoví doporučené pořadí přidělení bytu</w:t>
      </w:r>
      <w:r w:rsidRPr="00BD76E3">
        <w:rPr>
          <w:color w:val="auto"/>
          <w:sz w:val="22"/>
          <w:szCs w:val="22"/>
        </w:rPr>
        <w:t>.</w:t>
      </w:r>
    </w:p>
    <w:p w14:paraId="457C7DFE" w14:textId="77777777" w:rsidR="001F4D7A" w:rsidRPr="00BD76E3" w:rsidRDefault="001F4D7A" w:rsidP="00CC01F9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Doporučeným žadatelům k uzavření NS připraví OSBO oprávnění k prohlídce bytu.</w:t>
      </w:r>
    </w:p>
    <w:p w14:paraId="3AECF353" w14:textId="1C60C1FB" w:rsidR="00750555" w:rsidRPr="00BD76E3" w:rsidRDefault="00750555" w:rsidP="00CC01F9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Pokud žadatel nabízený byt odmítne, rozhodne </w:t>
      </w:r>
      <w:r w:rsidR="00CB6F9C" w:rsidRPr="00BD76E3">
        <w:rPr>
          <w:color w:val="auto"/>
          <w:sz w:val="22"/>
          <w:szCs w:val="22"/>
        </w:rPr>
        <w:t>PS</w:t>
      </w:r>
      <w:r w:rsidR="00BC4049" w:rsidRPr="00BD76E3">
        <w:rPr>
          <w:color w:val="auto"/>
          <w:sz w:val="22"/>
          <w:szCs w:val="22"/>
        </w:rPr>
        <w:t>BZ</w:t>
      </w:r>
      <w:r w:rsidRPr="00BD76E3">
        <w:rPr>
          <w:color w:val="auto"/>
          <w:sz w:val="22"/>
          <w:szCs w:val="22"/>
        </w:rPr>
        <w:t xml:space="preserve"> o tom, zda žadatel nabízený byt odmítl důvodně; pokud žadatel podruhé bezdůvodně odmítne nabízený byt, </w:t>
      </w:r>
      <w:r w:rsidR="00541D54" w:rsidRPr="00BD76E3">
        <w:rPr>
          <w:color w:val="auto"/>
          <w:sz w:val="22"/>
          <w:szCs w:val="22"/>
        </w:rPr>
        <w:t>PS</w:t>
      </w:r>
      <w:r w:rsidR="00BC4049" w:rsidRPr="00BD76E3">
        <w:rPr>
          <w:color w:val="auto"/>
          <w:sz w:val="22"/>
          <w:szCs w:val="22"/>
        </w:rPr>
        <w:t>BZ</w:t>
      </w:r>
      <w:r w:rsidRPr="00BD76E3">
        <w:rPr>
          <w:color w:val="auto"/>
          <w:sz w:val="22"/>
          <w:szCs w:val="22"/>
        </w:rPr>
        <w:t xml:space="preserve"> může rozhodnout o vyřazení žadatele z evidence žadatelů o</w:t>
      </w:r>
      <w:r w:rsidR="00183C04" w:rsidRPr="00BD76E3">
        <w:rPr>
          <w:color w:val="auto"/>
          <w:sz w:val="22"/>
          <w:szCs w:val="22"/>
        </w:rPr>
        <w:t xml:space="preserve"> </w:t>
      </w:r>
      <w:r w:rsidR="00541D54" w:rsidRPr="00BD76E3">
        <w:rPr>
          <w:color w:val="auto"/>
          <w:sz w:val="22"/>
          <w:szCs w:val="22"/>
        </w:rPr>
        <w:t>byt v obecním zájmu</w:t>
      </w:r>
      <w:r w:rsidRPr="00BD76E3">
        <w:rPr>
          <w:color w:val="auto"/>
          <w:sz w:val="22"/>
          <w:szCs w:val="22"/>
        </w:rPr>
        <w:t>,</w:t>
      </w:r>
      <w:r w:rsidR="00755589" w:rsidRPr="00BD76E3">
        <w:rPr>
          <w:color w:val="auto"/>
          <w:sz w:val="22"/>
          <w:szCs w:val="22"/>
        </w:rPr>
        <w:t xml:space="preserve"> </w:t>
      </w:r>
      <w:r w:rsidRPr="00BD76E3">
        <w:rPr>
          <w:color w:val="auto"/>
          <w:sz w:val="22"/>
          <w:szCs w:val="22"/>
        </w:rPr>
        <w:t>o</w:t>
      </w:r>
      <w:r w:rsidR="00755589" w:rsidRPr="00BD76E3">
        <w:rPr>
          <w:color w:val="auto"/>
          <w:sz w:val="22"/>
          <w:szCs w:val="22"/>
        </w:rPr>
        <w:t> </w:t>
      </w:r>
      <w:r w:rsidRPr="00BD76E3">
        <w:rPr>
          <w:color w:val="auto"/>
          <w:sz w:val="22"/>
          <w:szCs w:val="22"/>
        </w:rPr>
        <w:t xml:space="preserve">čemž bude žadatel informován písemně dopisem pracovníka </w:t>
      </w:r>
      <w:proofErr w:type="spellStart"/>
      <w:r w:rsidRPr="00BD76E3">
        <w:rPr>
          <w:color w:val="auto"/>
          <w:sz w:val="22"/>
          <w:szCs w:val="22"/>
        </w:rPr>
        <w:t>KMB</w:t>
      </w:r>
      <w:r w:rsidR="007E45E7" w:rsidRPr="00BD76E3">
        <w:rPr>
          <w:color w:val="auto"/>
          <w:sz w:val="22"/>
          <w:szCs w:val="22"/>
        </w:rPr>
        <w:t>aSP</w:t>
      </w:r>
      <w:proofErr w:type="spellEnd"/>
      <w:r w:rsidRPr="00BD76E3">
        <w:rPr>
          <w:color w:val="auto"/>
          <w:sz w:val="22"/>
          <w:szCs w:val="22"/>
        </w:rPr>
        <w:t>; v takovém případě může žadatel podat novou žádost nejdříve po třech letech ode dne vyřazení z evidence.</w:t>
      </w:r>
    </w:p>
    <w:p w14:paraId="245044E4" w14:textId="78F70F38" w:rsidR="00FF19E7" w:rsidRPr="00BD76E3" w:rsidRDefault="00FF19E7" w:rsidP="00FF19E7">
      <w:pPr>
        <w:pStyle w:val="Default"/>
        <w:numPr>
          <w:ilvl w:val="0"/>
          <w:numId w:val="10"/>
        </w:numPr>
        <w:spacing w:after="120"/>
        <w:ind w:left="284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Pokud žadatel přijme byt, zpracuje </w:t>
      </w:r>
      <w:proofErr w:type="spellStart"/>
      <w:r w:rsidRPr="00BD76E3">
        <w:rPr>
          <w:color w:val="auto"/>
          <w:sz w:val="22"/>
          <w:szCs w:val="22"/>
        </w:rPr>
        <w:t>KMBaSP</w:t>
      </w:r>
      <w:proofErr w:type="spellEnd"/>
      <w:r w:rsidRPr="00BD76E3">
        <w:rPr>
          <w:color w:val="auto"/>
          <w:sz w:val="22"/>
          <w:szCs w:val="22"/>
        </w:rPr>
        <w:t xml:space="preserve"> materiál pro jednání Rady SMJNN. Od usnesení Rady SMJNN má </w:t>
      </w:r>
      <w:r w:rsidRPr="00AF4589">
        <w:rPr>
          <w:color w:val="auto"/>
          <w:sz w:val="22"/>
          <w:szCs w:val="22"/>
        </w:rPr>
        <w:t xml:space="preserve">nájemce </w:t>
      </w:r>
      <w:r w:rsidR="00961779" w:rsidRPr="00AF4589">
        <w:rPr>
          <w:color w:val="auto"/>
          <w:sz w:val="22"/>
          <w:szCs w:val="22"/>
        </w:rPr>
        <w:t xml:space="preserve">15 pracovních dní </w:t>
      </w:r>
      <w:r w:rsidRPr="00BD76E3">
        <w:rPr>
          <w:color w:val="auto"/>
          <w:sz w:val="22"/>
          <w:szCs w:val="22"/>
        </w:rPr>
        <w:t xml:space="preserve">na podpis NS a na převzetí bytu. Podepsanou nájemní smlouvu OSBO, založí do pasportu bytu a elektronicky poskytne </w:t>
      </w:r>
      <w:proofErr w:type="spellStart"/>
      <w:r w:rsidRPr="00BD76E3">
        <w:rPr>
          <w:color w:val="auto"/>
          <w:sz w:val="22"/>
          <w:szCs w:val="22"/>
        </w:rPr>
        <w:t>KMBaSP</w:t>
      </w:r>
      <w:proofErr w:type="spellEnd"/>
      <w:r w:rsidRPr="00BD76E3">
        <w:rPr>
          <w:color w:val="auto"/>
          <w:sz w:val="22"/>
          <w:szCs w:val="22"/>
        </w:rPr>
        <w:t>.</w:t>
      </w:r>
    </w:p>
    <w:p w14:paraId="704F26FB" w14:textId="31A8012F" w:rsidR="00750555" w:rsidRPr="00BD76E3" w:rsidRDefault="00750555" w:rsidP="00022BF2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 xml:space="preserve">Článek </w:t>
      </w:r>
      <w:r w:rsidR="00BC4049" w:rsidRPr="00BD76E3">
        <w:rPr>
          <w:b/>
          <w:bCs/>
          <w:color w:val="auto"/>
        </w:rPr>
        <w:t>6</w:t>
      </w:r>
    </w:p>
    <w:p w14:paraId="27975F66" w14:textId="2D6C656D" w:rsidR="00750555" w:rsidRPr="00BD76E3" w:rsidRDefault="00750555" w:rsidP="00022BF2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>Doba nájmu</w:t>
      </w:r>
    </w:p>
    <w:p w14:paraId="58BA3644" w14:textId="77777777" w:rsidR="0012393B" w:rsidRPr="00BD76E3" w:rsidRDefault="0012393B" w:rsidP="00022BF2">
      <w:pPr>
        <w:pStyle w:val="Default"/>
        <w:jc w:val="center"/>
        <w:rPr>
          <w:color w:val="auto"/>
          <w:sz w:val="22"/>
          <w:szCs w:val="22"/>
        </w:rPr>
      </w:pPr>
    </w:p>
    <w:p w14:paraId="75339B67" w14:textId="61BC1DC7" w:rsidR="00750555" w:rsidRPr="00BD76E3" w:rsidRDefault="009528B7" w:rsidP="00750555">
      <w:pPr>
        <w:pStyle w:val="Default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NS</w:t>
      </w:r>
      <w:r w:rsidR="00750555" w:rsidRPr="00BD76E3">
        <w:rPr>
          <w:color w:val="auto"/>
          <w:sz w:val="22"/>
          <w:szCs w:val="22"/>
        </w:rPr>
        <w:t xml:space="preserve"> na pronájem </w:t>
      </w:r>
      <w:r w:rsidR="00541D54" w:rsidRPr="00BD76E3">
        <w:rPr>
          <w:color w:val="auto"/>
          <w:sz w:val="22"/>
          <w:szCs w:val="22"/>
        </w:rPr>
        <w:t>byt</w:t>
      </w:r>
      <w:r w:rsidR="00183C04" w:rsidRPr="00BD76E3">
        <w:rPr>
          <w:color w:val="auto"/>
          <w:sz w:val="22"/>
          <w:szCs w:val="22"/>
        </w:rPr>
        <w:t>ů</w:t>
      </w:r>
      <w:r w:rsidR="00541D54" w:rsidRPr="00BD76E3">
        <w:rPr>
          <w:color w:val="auto"/>
          <w:sz w:val="22"/>
          <w:szCs w:val="22"/>
        </w:rPr>
        <w:t xml:space="preserve"> v obecním zájmu</w:t>
      </w:r>
      <w:r w:rsidR="00750555" w:rsidRPr="00BD76E3">
        <w:rPr>
          <w:color w:val="auto"/>
          <w:sz w:val="22"/>
          <w:szCs w:val="22"/>
        </w:rPr>
        <w:t xml:space="preserve"> budou uzavírány zpravidla na dobu určitou 1</w:t>
      </w:r>
      <w:r w:rsidR="0012393B" w:rsidRPr="00BD76E3">
        <w:rPr>
          <w:color w:val="auto"/>
          <w:sz w:val="22"/>
          <w:szCs w:val="22"/>
        </w:rPr>
        <w:t xml:space="preserve"> </w:t>
      </w:r>
      <w:r w:rsidR="001471DF" w:rsidRPr="00BD76E3">
        <w:rPr>
          <w:color w:val="auto"/>
          <w:sz w:val="22"/>
          <w:szCs w:val="22"/>
        </w:rPr>
        <w:t>rok s možností prodloužení.</w:t>
      </w:r>
    </w:p>
    <w:p w14:paraId="1278C2CA" w14:textId="77777777" w:rsidR="007E45E7" w:rsidRPr="00BD76E3" w:rsidRDefault="007E45E7" w:rsidP="00750555">
      <w:pPr>
        <w:pStyle w:val="Default"/>
        <w:jc w:val="both"/>
        <w:rPr>
          <w:color w:val="auto"/>
          <w:sz w:val="22"/>
          <w:szCs w:val="22"/>
        </w:rPr>
      </w:pPr>
    </w:p>
    <w:p w14:paraId="57DDA5F8" w14:textId="7DF6C637" w:rsidR="00750555" w:rsidRPr="00BD76E3" w:rsidRDefault="00750555" w:rsidP="00022BF2">
      <w:pPr>
        <w:pStyle w:val="Default"/>
        <w:jc w:val="center"/>
        <w:rPr>
          <w:color w:val="auto"/>
        </w:rPr>
      </w:pPr>
      <w:r w:rsidRPr="00BD76E3">
        <w:rPr>
          <w:b/>
          <w:bCs/>
          <w:color w:val="auto"/>
        </w:rPr>
        <w:t xml:space="preserve">Článek </w:t>
      </w:r>
      <w:r w:rsidR="00CC01F9" w:rsidRPr="00BD76E3">
        <w:rPr>
          <w:b/>
          <w:bCs/>
          <w:color w:val="auto"/>
        </w:rPr>
        <w:t>7</w:t>
      </w:r>
    </w:p>
    <w:p w14:paraId="6D34F621" w14:textId="327BC9A9" w:rsidR="00750555" w:rsidRPr="00BD76E3" w:rsidRDefault="00750555" w:rsidP="00022BF2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>Prodloužení nájmu</w:t>
      </w:r>
    </w:p>
    <w:p w14:paraId="4C39CC3A" w14:textId="77777777" w:rsidR="0012393B" w:rsidRPr="00BD76E3" w:rsidRDefault="0012393B" w:rsidP="00022BF2">
      <w:pPr>
        <w:pStyle w:val="Default"/>
        <w:jc w:val="center"/>
        <w:rPr>
          <w:color w:val="auto"/>
          <w:sz w:val="22"/>
          <w:szCs w:val="22"/>
        </w:rPr>
      </w:pPr>
    </w:p>
    <w:p w14:paraId="4D9433BA" w14:textId="12997763" w:rsidR="00750555" w:rsidRPr="00BD76E3" w:rsidRDefault="00750555" w:rsidP="00121814">
      <w:pPr>
        <w:pStyle w:val="Odstavecseseznamem"/>
        <w:numPr>
          <w:ilvl w:val="0"/>
          <w:numId w:val="13"/>
        </w:numPr>
        <w:spacing w:after="120"/>
        <w:ind w:left="283" w:hanging="357"/>
        <w:contextualSpacing w:val="0"/>
        <w:jc w:val="both"/>
        <w:rPr>
          <w:rFonts w:ascii="Arial" w:hAnsi="Arial" w:cs="Arial"/>
        </w:rPr>
      </w:pPr>
      <w:r w:rsidRPr="00BD76E3">
        <w:rPr>
          <w:rFonts w:ascii="Arial" w:hAnsi="Arial" w:cs="Arial"/>
        </w:rPr>
        <w:t>Pokud nájemce i nadále splňuje kritéria stanovená pro uzavření NS</w:t>
      </w:r>
      <w:r w:rsidR="00CA0C4D" w:rsidRPr="00BD76E3">
        <w:rPr>
          <w:rFonts w:ascii="Arial" w:hAnsi="Arial" w:cs="Arial"/>
        </w:rPr>
        <w:t>, doloží tuto skutečnost potvrzením od doporučující osoby (viz článek 1) ve lhůtě nejpozději 30 dnů před uplynutím sjednané doby nájmu. R</w:t>
      </w:r>
      <w:r w:rsidR="001471DF" w:rsidRPr="00BD76E3">
        <w:rPr>
          <w:rFonts w:ascii="Arial" w:hAnsi="Arial" w:cs="Arial"/>
        </w:rPr>
        <w:t>ada</w:t>
      </w:r>
      <w:r w:rsidR="00CC4F4E" w:rsidRPr="00BD76E3">
        <w:rPr>
          <w:rFonts w:ascii="Arial" w:hAnsi="Arial" w:cs="Arial"/>
        </w:rPr>
        <w:t xml:space="preserve"> SMJNN</w:t>
      </w:r>
      <w:r w:rsidR="000D40F6" w:rsidRPr="00BD76E3">
        <w:rPr>
          <w:rFonts w:ascii="Arial" w:hAnsi="Arial" w:cs="Arial"/>
        </w:rPr>
        <w:t xml:space="preserve"> následně</w:t>
      </w:r>
      <w:r w:rsidR="001471DF" w:rsidRPr="00BD76E3">
        <w:rPr>
          <w:rFonts w:ascii="Arial" w:hAnsi="Arial" w:cs="Arial"/>
        </w:rPr>
        <w:t xml:space="preserve"> </w:t>
      </w:r>
      <w:r w:rsidR="009528B7" w:rsidRPr="00BD76E3">
        <w:rPr>
          <w:rFonts w:ascii="Arial" w:hAnsi="Arial" w:cs="Arial"/>
        </w:rPr>
        <w:t>NS</w:t>
      </w:r>
      <w:r w:rsidR="00CA0C4D" w:rsidRPr="00BD76E3">
        <w:rPr>
          <w:rFonts w:ascii="Arial" w:hAnsi="Arial" w:cs="Arial"/>
        </w:rPr>
        <w:t xml:space="preserve"> </w:t>
      </w:r>
      <w:r w:rsidR="001471DF" w:rsidRPr="00BD76E3">
        <w:rPr>
          <w:rFonts w:ascii="Arial" w:hAnsi="Arial" w:cs="Arial"/>
        </w:rPr>
        <w:t xml:space="preserve">prodlouží svým usnesením formou uzavření nové </w:t>
      </w:r>
      <w:r w:rsidR="009528B7" w:rsidRPr="00BD76E3">
        <w:rPr>
          <w:rFonts w:ascii="Arial" w:hAnsi="Arial" w:cs="Arial"/>
        </w:rPr>
        <w:t>NS</w:t>
      </w:r>
      <w:r w:rsidR="001471DF" w:rsidRPr="00BD76E3">
        <w:rPr>
          <w:rFonts w:ascii="Arial" w:hAnsi="Arial" w:cs="Arial"/>
        </w:rPr>
        <w:t xml:space="preserve"> před ukončením smlouvy stávající.</w:t>
      </w:r>
    </w:p>
    <w:p w14:paraId="555DBA1C" w14:textId="495CDFC8" w:rsidR="00121814" w:rsidRPr="00BD76E3" w:rsidRDefault="00121814" w:rsidP="00121814">
      <w:pPr>
        <w:pStyle w:val="Odstavecseseznamem"/>
        <w:numPr>
          <w:ilvl w:val="0"/>
          <w:numId w:val="13"/>
        </w:numPr>
        <w:spacing w:after="120"/>
        <w:ind w:left="283" w:hanging="357"/>
        <w:contextualSpacing w:val="0"/>
        <w:jc w:val="both"/>
        <w:rPr>
          <w:rFonts w:ascii="Arial" w:hAnsi="Arial" w:cs="Arial"/>
        </w:rPr>
      </w:pPr>
      <w:bookmarkStart w:id="0" w:name="_Hlk175046906"/>
      <w:r w:rsidRPr="00BD76E3">
        <w:rPr>
          <w:rFonts w:ascii="Arial" w:hAnsi="Arial" w:cs="Arial"/>
        </w:rPr>
        <w:t xml:space="preserve">Před projednáním prodloužení nájmu v Radě SMJNN si </w:t>
      </w:r>
      <w:proofErr w:type="spellStart"/>
      <w:r w:rsidRPr="00BD76E3">
        <w:rPr>
          <w:rFonts w:ascii="Arial" w:hAnsi="Arial" w:cs="Arial"/>
        </w:rPr>
        <w:t>KMBaSP</w:t>
      </w:r>
      <w:proofErr w:type="spellEnd"/>
      <w:r w:rsidRPr="00BD76E3">
        <w:rPr>
          <w:rFonts w:ascii="Arial" w:hAnsi="Arial" w:cs="Arial"/>
        </w:rPr>
        <w:t xml:space="preserve"> interně vyžádá potvrzení OSBO o bezdlužnosti na nájemném a službách a vyúčtování služeb za poslední kalendářní rok a potvrzení celkové bezdlužnosti vůči SMJNN, případně doložení dohod o splátkách či řádně plněných splátkových kalendářů na úhradu dluhů. </w:t>
      </w:r>
      <w:proofErr w:type="spellStart"/>
      <w:r w:rsidRPr="00BD76E3">
        <w:rPr>
          <w:rFonts w:ascii="Arial" w:hAnsi="Arial" w:cs="Arial"/>
        </w:rPr>
        <w:t>KMBaSP</w:t>
      </w:r>
      <w:proofErr w:type="spellEnd"/>
      <w:r w:rsidRPr="00BD76E3">
        <w:rPr>
          <w:rFonts w:ascii="Arial" w:hAnsi="Arial" w:cs="Arial"/>
        </w:rPr>
        <w:t xml:space="preserve"> interně prověří splnění podmínky, že nájemce nadále nemá vlastnický/ spoluvlastnictví/družstevní podíl k nemovitému majetku určenému k bydlení na území libereckého kraje.</w:t>
      </w:r>
    </w:p>
    <w:p w14:paraId="5EE14C65" w14:textId="1074F1A2" w:rsidR="00121814" w:rsidRPr="00BD76E3" w:rsidRDefault="00121814" w:rsidP="00121814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</w:rPr>
      </w:pPr>
      <w:r w:rsidRPr="00BD76E3">
        <w:rPr>
          <w:rFonts w:ascii="Arial" w:hAnsi="Arial" w:cs="Arial"/>
        </w:rPr>
        <w:t>V případě, že po dobu trvání nájemní smlouvy, která je uzavřena se zaměstnancem SMJNN, bude opakovaně a/nebo dlouhodoběji docházet ke vzniku dluhů na nájemném či službách, bude k uhrazení dlužné částky uzavírána dohoda o srážkách z platu.</w:t>
      </w:r>
    </w:p>
    <w:p w14:paraId="548F33C5" w14:textId="07B9A6B5" w:rsidR="00183C04" w:rsidRPr="00BD76E3" w:rsidRDefault="00183C04" w:rsidP="00121814">
      <w:pPr>
        <w:pStyle w:val="Odstavecseseznamem"/>
        <w:spacing w:after="0"/>
        <w:ind w:left="284"/>
        <w:contextualSpacing w:val="0"/>
        <w:jc w:val="center"/>
        <w:rPr>
          <w:rFonts w:ascii="Arial" w:hAnsi="Arial" w:cs="Arial"/>
          <w:sz w:val="24"/>
          <w:szCs w:val="24"/>
        </w:rPr>
      </w:pPr>
      <w:r w:rsidRPr="00BD76E3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CC01F9" w:rsidRPr="00BD76E3">
        <w:rPr>
          <w:rFonts w:ascii="Arial" w:hAnsi="Arial" w:cs="Arial"/>
          <w:b/>
          <w:bCs/>
          <w:sz w:val="24"/>
          <w:szCs w:val="24"/>
        </w:rPr>
        <w:t>8</w:t>
      </w:r>
    </w:p>
    <w:p w14:paraId="50BFC925" w14:textId="0A205EA0" w:rsidR="001A7379" w:rsidRPr="00BD76E3" w:rsidRDefault="001A7379" w:rsidP="00183C04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 xml:space="preserve">Výše nájmu </w:t>
      </w:r>
      <w:r w:rsidR="00183C04" w:rsidRPr="00BD76E3">
        <w:rPr>
          <w:b/>
          <w:bCs/>
          <w:color w:val="auto"/>
        </w:rPr>
        <w:t xml:space="preserve">a peněžní </w:t>
      </w:r>
      <w:r w:rsidRPr="00BD76E3">
        <w:rPr>
          <w:b/>
          <w:bCs/>
          <w:color w:val="auto"/>
        </w:rPr>
        <w:t>jistota</w:t>
      </w:r>
    </w:p>
    <w:p w14:paraId="69684738" w14:textId="77777777" w:rsidR="000741A3" w:rsidRPr="00BD76E3" w:rsidRDefault="000741A3" w:rsidP="00183C0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D890682" w14:textId="2513F88A" w:rsidR="00183C04" w:rsidRPr="00BD76E3" w:rsidRDefault="00183C04" w:rsidP="00CC01F9">
      <w:pPr>
        <w:pStyle w:val="Default"/>
        <w:numPr>
          <w:ilvl w:val="0"/>
          <w:numId w:val="12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Součástí </w:t>
      </w:r>
      <w:r w:rsidR="009528B7" w:rsidRPr="00BD76E3">
        <w:rPr>
          <w:color w:val="auto"/>
          <w:sz w:val="22"/>
          <w:szCs w:val="22"/>
        </w:rPr>
        <w:t>NS</w:t>
      </w:r>
      <w:r w:rsidRPr="00BD76E3">
        <w:rPr>
          <w:color w:val="auto"/>
          <w:sz w:val="22"/>
          <w:szCs w:val="22"/>
        </w:rPr>
        <w:t xml:space="preserve"> bude evidenční/výpočetní list s předpisem nájemného a</w:t>
      </w:r>
      <w:r w:rsidR="00755589" w:rsidRPr="00BD76E3">
        <w:rPr>
          <w:color w:val="auto"/>
          <w:sz w:val="22"/>
          <w:szCs w:val="22"/>
        </w:rPr>
        <w:t> </w:t>
      </w:r>
      <w:r w:rsidRPr="00BD76E3">
        <w:rPr>
          <w:color w:val="auto"/>
          <w:sz w:val="22"/>
          <w:szCs w:val="22"/>
        </w:rPr>
        <w:t>služeb spojených s nájmem bytu.</w:t>
      </w:r>
    </w:p>
    <w:p w14:paraId="3428213C" w14:textId="073C60ED" w:rsidR="000741A3" w:rsidRPr="00BD76E3" w:rsidRDefault="000741A3" w:rsidP="00CC01F9">
      <w:pPr>
        <w:pStyle w:val="Default"/>
        <w:numPr>
          <w:ilvl w:val="0"/>
          <w:numId w:val="12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Základní sazba nájemného je pro r</w:t>
      </w:r>
      <w:r w:rsidR="00AB601B" w:rsidRPr="00BD76E3">
        <w:rPr>
          <w:color w:val="auto"/>
          <w:sz w:val="22"/>
          <w:szCs w:val="22"/>
        </w:rPr>
        <w:t>ok</w:t>
      </w:r>
      <w:r w:rsidRPr="00BD76E3">
        <w:rPr>
          <w:color w:val="auto"/>
          <w:sz w:val="22"/>
          <w:szCs w:val="22"/>
        </w:rPr>
        <w:t xml:space="preserve"> stanovena usnesením </w:t>
      </w:r>
      <w:r w:rsidR="00CC4F4E" w:rsidRPr="00BD76E3">
        <w:rPr>
          <w:color w:val="auto"/>
          <w:sz w:val="22"/>
          <w:szCs w:val="22"/>
        </w:rPr>
        <w:t>R</w:t>
      </w:r>
      <w:r w:rsidRPr="00BD76E3">
        <w:rPr>
          <w:color w:val="auto"/>
          <w:sz w:val="22"/>
          <w:szCs w:val="22"/>
        </w:rPr>
        <w:t xml:space="preserve">ady </w:t>
      </w:r>
      <w:r w:rsidR="00CC4F4E" w:rsidRPr="00BD76E3">
        <w:rPr>
          <w:color w:val="auto"/>
          <w:sz w:val="22"/>
          <w:szCs w:val="22"/>
        </w:rPr>
        <w:t>SMJNN</w:t>
      </w:r>
      <w:r w:rsidRPr="00BD76E3">
        <w:rPr>
          <w:color w:val="auto"/>
          <w:sz w:val="22"/>
          <w:szCs w:val="22"/>
        </w:rPr>
        <w:t xml:space="preserve">. </w:t>
      </w:r>
      <w:r w:rsidR="00AB601B" w:rsidRPr="00BD76E3">
        <w:rPr>
          <w:color w:val="auto"/>
          <w:sz w:val="22"/>
          <w:szCs w:val="22"/>
        </w:rPr>
        <w:t>Při změně výše nájemného je tato skutečnost oznámena nájemci předem</w:t>
      </w:r>
      <w:r w:rsidRPr="00BD76E3">
        <w:rPr>
          <w:color w:val="auto"/>
          <w:sz w:val="22"/>
          <w:szCs w:val="22"/>
        </w:rPr>
        <w:t>.</w:t>
      </w:r>
    </w:p>
    <w:p w14:paraId="028FC4C1" w14:textId="7A360031" w:rsidR="000741A3" w:rsidRPr="00BD76E3" w:rsidRDefault="000741A3" w:rsidP="00CC01F9">
      <w:pPr>
        <w:pStyle w:val="Default"/>
        <w:numPr>
          <w:ilvl w:val="0"/>
          <w:numId w:val="12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Peněžitá jistota je stanovena na trojnásobek měsíčního nájemného.</w:t>
      </w:r>
      <w:bookmarkEnd w:id="0"/>
    </w:p>
    <w:p w14:paraId="46C4C8AF" w14:textId="77777777" w:rsidR="005F3BD4" w:rsidRPr="00BD76E3" w:rsidRDefault="005F3BD4" w:rsidP="00AB601B">
      <w:pPr>
        <w:pStyle w:val="Default"/>
        <w:jc w:val="both"/>
        <w:rPr>
          <w:color w:val="auto"/>
          <w:sz w:val="22"/>
          <w:szCs w:val="22"/>
        </w:rPr>
      </w:pPr>
    </w:p>
    <w:p w14:paraId="2D47398D" w14:textId="0863E773" w:rsidR="00121814" w:rsidRPr="00BD76E3" w:rsidRDefault="00121814" w:rsidP="00121814">
      <w:pPr>
        <w:pStyle w:val="Odstavecseseznamem"/>
        <w:spacing w:after="0"/>
        <w:ind w:left="284"/>
        <w:contextualSpacing w:val="0"/>
        <w:jc w:val="center"/>
        <w:rPr>
          <w:rFonts w:ascii="Arial" w:hAnsi="Arial" w:cs="Arial"/>
          <w:sz w:val="24"/>
          <w:szCs w:val="24"/>
        </w:rPr>
      </w:pPr>
      <w:bookmarkStart w:id="1" w:name="_Hlk181871089"/>
      <w:r w:rsidRPr="00BD76E3">
        <w:rPr>
          <w:rFonts w:ascii="Arial" w:hAnsi="Arial" w:cs="Arial"/>
          <w:b/>
          <w:bCs/>
          <w:sz w:val="24"/>
          <w:szCs w:val="24"/>
        </w:rPr>
        <w:lastRenderedPageBreak/>
        <w:t>Článek 9</w:t>
      </w:r>
    </w:p>
    <w:p w14:paraId="2077A25A" w14:textId="2E721667" w:rsidR="00121814" w:rsidRPr="00BD76E3" w:rsidRDefault="00364139" w:rsidP="00121814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>Ukončení výkonu práce v obecním zájmu</w:t>
      </w:r>
    </w:p>
    <w:p w14:paraId="42930231" w14:textId="000B36DE" w:rsidR="00121814" w:rsidRPr="00BD76E3" w:rsidRDefault="00121814" w:rsidP="00121814">
      <w:pPr>
        <w:pStyle w:val="Default"/>
        <w:rPr>
          <w:b/>
          <w:bCs/>
          <w:color w:val="auto"/>
        </w:rPr>
      </w:pPr>
    </w:p>
    <w:p w14:paraId="64B96F64" w14:textId="1578B144" w:rsidR="00121814" w:rsidRPr="00BD76E3" w:rsidRDefault="00121814" w:rsidP="003B47CC">
      <w:pPr>
        <w:pStyle w:val="Default"/>
        <w:numPr>
          <w:ilvl w:val="0"/>
          <w:numId w:val="16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V případě ukončení výkonu práce v obecním zájmu </w:t>
      </w:r>
      <w:r w:rsidR="00364139" w:rsidRPr="00BD76E3">
        <w:rPr>
          <w:color w:val="auto"/>
          <w:sz w:val="22"/>
          <w:szCs w:val="22"/>
        </w:rPr>
        <w:t>bude nájemní smlouva v rámci BOZ prodloužena maximálně na dobu jednoho roku ode dne ukončení výkonu této práce.</w:t>
      </w:r>
    </w:p>
    <w:p w14:paraId="61C2D44E" w14:textId="03770371" w:rsidR="00364139" w:rsidRPr="00BD76E3" w:rsidRDefault="00364139" w:rsidP="003B47CC">
      <w:pPr>
        <w:pStyle w:val="Default"/>
        <w:numPr>
          <w:ilvl w:val="0"/>
          <w:numId w:val="16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Nájemník bytu BOZ </w:t>
      </w:r>
      <w:r w:rsidR="003B47CC" w:rsidRPr="00BD76E3">
        <w:rPr>
          <w:color w:val="auto"/>
          <w:sz w:val="22"/>
          <w:szCs w:val="22"/>
        </w:rPr>
        <w:t xml:space="preserve">je </w:t>
      </w:r>
      <w:r w:rsidRPr="00BD76E3">
        <w:rPr>
          <w:color w:val="auto"/>
          <w:sz w:val="22"/>
          <w:szCs w:val="22"/>
        </w:rPr>
        <w:t xml:space="preserve">po ukončení výkonu práce v obecním zájmu </w:t>
      </w:r>
      <w:r w:rsidR="003B47CC" w:rsidRPr="00BD76E3">
        <w:rPr>
          <w:color w:val="auto"/>
          <w:sz w:val="22"/>
          <w:szCs w:val="22"/>
        </w:rPr>
        <w:t>nebo</w:t>
      </w:r>
      <w:r w:rsidRPr="00BD76E3">
        <w:rPr>
          <w:color w:val="auto"/>
          <w:sz w:val="22"/>
          <w:szCs w:val="22"/>
        </w:rPr>
        <w:t xml:space="preserve"> </w:t>
      </w:r>
      <w:r w:rsidR="003B47CC" w:rsidRPr="00BD76E3">
        <w:rPr>
          <w:color w:val="auto"/>
          <w:sz w:val="22"/>
          <w:szCs w:val="22"/>
        </w:rPr>
        <w:t>kdykoliv v</w:t>
      </w:r>
      <w:r w:rsidRPr="00BD76E3">
        <w:rPr>
          <w:color w:val="auto"/>
          <w:sz w:val="22"/>
          <w:szCs w:val="22"/>
        </w:rPr>
        <w:t xml:space="preserve"> jeho průběhu </w:t>
      </w:r>
      <w:r w:rsidR="003B47CC" w:rsidRPr="00BD76E3">
        <w:rPr>
          <w:color w:val="auto"/>
          <w:sz w:val="22"/>
          <w:szCs w:val="22"/>
        </w:rPr>
        <w:t xml:space="preserve">oprávněn </w:t>
      </w:r>
      <w:r w:rsidRPr="00BD76E3">
        <w:rPr>
          <w:color w:val="auto"/>
          <w:sz w:val="22"/>
          <w:szCs w:val="22"/>
        </w:rPr>
        <w:t>pod</w:t>
      </w:r>
      <w:r w:rsidR="003B47CC" w:rsidRPr="00BD76E3">
        <w:rPr>
          <w:color w:val="auto"/>
          <w:sz w:val="22"/>
          <w:szCs w:val="22"/>
        </w:rPr>
        <w:t>at</w:t>
      </w:r>
      <w:r w:rsidRPr="00BD76E3">
        <w:rPr>
          <w:color w:val="auto"/>
          <w:sz w:val="22"/>
          <w:szCs w:val="22"/>
        </w:rPr>
        <w:t xml:space="preserve"> žádost o změnu </w:t>
      </w:r>
      <w:r w:rsidR="003B47CC" w:rsidRPr="00BD76E3">
        <w:rPr>
          <w:color w:val="auto"/>
          <w:sz w:val="22"/>
          <w:szCs w:val="22"/>
        </w:rPr>
        <w:t xml:space="preserve">kategorie </w:t>
      </w:r>
      <w:r w:rsidRPr="00BD76E3">
        <w:rPr>
          <w:color w:val="auto"/>
          <w:sz w:val="22"/>
          <w:szCs w:val="22"/>
        </w:rPr>
        <w:t>nájmu bytu z BOZ na byty podporovaného bydlení (BPB)</w:t>
      </w:r>
      <w:r w:rsidR="003B47CC" w:rsidRPr="00BD76E3">
        <w:rPr>
          <w:color w:val="auto"/>
          <w:sz w:val="22"/>
          <w:szCs w:val="22"/>
        </w:rPr>
        <w:t>.</w:t>
      </w:r>
    </w:p>
    <w:p w14:paraId="2ED5737E" w14:textId="2F8B110E" w:rsidR="003B47CC" w:rsidRPr="00BD76E3" w:rsidRDefault="003B47CC" w:rsidP="003B47CC">
      <w:pPr>
        <w:pStyle w:val="Default"/>
        <w:numPr>
          <w:ilvl w:val="0"/>
          <w:numId w:val="16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 xml:space="preserve">Žádost o změnu kategorie bytu projedná PSBZ a následně </w:t>
      </w:r>
      <w:r w:rsidR="001E2060" w:rsidRPr="00BD76E3">
        <w:rPr>
          <w:color w:val="auto"/>
          <w:sz w:val="22"/>
          <w:szCs w:val="22"/>
        </w:rPr>
        <w:t xml:space="preserve">své doporučení </w:t>
      </w:r>
      <w:r w:rsidRPr="00BD76E3">
        <w:rPr>
          <w:color w:val="auto"/>
          <w:sz w:val="22"/>
          <w:szCs w:val="22"/>
        </w:rPr>
        <w:t>postoup</w:t>
      </w:r>
      <w:r w:rsidR="001E2060" w:rsidRPr="00BD76E3">
        <w:rPr>
          <w:color w:val="auto"/>
          <w:sz w:val="22"/>
          <w:szCs w:val="22"/>
        </w:rPr>
        <w:t>í</w:t>
      </w:r>
      <w:r w:rsidRPr="00BD76E3">
        <w:rPr>
          <w:color w:val="auto"/>
          <w:sz w:val="22"/>
          <w:szCs w:val="22"/>
        </w:rPr>
        <w:t xml:space="preserve"> Radě SMJNN k</w:t>
      </w:r>
      <w:r w:rsidR="001E2060" w:rsidRPr="00BD76E3">
        <w:rPr>
          <w:color w:val="auto"/>
          <w:sz w:val="22"/>
          <w:szCs w:val="22"/>
        </w:rPr>
        <w:t> </w:t>
      </w:r>
      <w:r w:rsidRPr="00BD76E3">
        <w:rPr>
          <w:color w:val="auto"/>
          <w:sz w:val="22"/>
          <w:szCs w:val="22"/>
        </w:rPr>
        <w:t>rozhodnutí</w:t>
      </w:r>
      <w:r w:rsidR="001E2060" w:rsidRPr="00BD76E3">
        <w:rPr>
          <w:color w:val="auto"/>
          <w:sz w:val="22"/>
          <w:szCs w:val="22"/>
        </w:rPr>
        <w:t>. V tomto případě nebude</w:t>
      </w:r>
      <w:r w:rsidRPr="00BD76E3">
        <w:rPr>
          <w:color w:val="auto"/>
          <w:sz w:val="22"/>
          <w:szCs w:val="22"/>
        </w:rPr>
        <w:t xml:space="preserve"> zjišťován</w:t>
      </w:r>
      <w:r w:rsidR="001E2060" w:rsidRPr="00BD76E3">
        <w:rPr>
          <w:color w:val="auto"/>
          <w:sz w:val="22"/>
          <w:szCs w:val="22"/>
        </w:rPr>
        <w:t>o</w:t>
      </w:r>
      <w:r w:rsidRPr="00BD76E3">
        <w:rPr>
          <w:color w:val="auto"/>
          <w:sz w:val="22"/>
          <w:szCs w:val="22"/>
        </w:rPr>
        <w:t xml:space="preserve"> bodové hodnocení v kategorii BPB.</w:t>
      </w:r>
    </w:p>
    <w:p w14:paraId="4F069126" w14:textId="19C9C042" w:rsidR="003B47CC" w:rsidRPr="00BD76E3" w:rsidRDefault="003B47CC" w:rsidP="003B47CC">
      <w:pPr>
        <w:pStyle w:val="Default"/>
        <w:numPr>
          <w:ilvl w:val="0"/>
          <w:numId w:val="16"/>
        </w:numPr>
        <w:spacing w:after="120"/>
        <w:ind w:left="283" w:hanging="357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Podmínkou změny kategorie bytu je zvýšení nájmu na cenu v místě a čase obvyklou, která bude stanovena v souladu s Koncepcí bydlení města.</w:t>
      </w:r>
    </w:p>
    <w:p w14:paraId="6A980C02" w14:textId="77777777" w:rsidR="00121814" w:rsidRPr="00BD76E3" w:rsidRDefault="00121814" w:rsidP="00CC01F9">
      <w:pPr>
        <w:pStyle w:val="Default"/>
        <w:jc w:val="center"/>
        <w:rPr>
          <w:b/>
          <w:bCs/>
          <w:color w:val="auto"/>
        </w:rPr>
      </w:pPr>
    </w:p>
    <w:p w14:paraId="4D541219" w14:textId="77777777" w:rsidR="00121814" w:rsidRPr="00BD76E3" w:rsidRDefault="00121814" w:rsidP="00CC01F9">
      <w:pPr>
        <w:pStyle w:val="Default"/>
        <w:jc w:val="center"/>
        <w:rPr>
          <w:b/>
          <w:bCs/>
          <w:color w:val="auto"/>
        </w:rPr>
      </w:pPr>
    </w:p>
    <w:p w14:paraId="34AC1D41" w14:textId="4B3BDFF0" w:rsidR="005F3BD4" w:rsidRPr="00BD76E3" w:rsidRDefault="005F3BD4" w:rsidP="00CC01F9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 xml:space="preserve">Článek </w:t>
      </w:r>
      <w:r w:rsidR="00121814" w:rsidRPr="00BD76E3">
        <w:rPr>
          <w:b/>
          <w:bCs/>
          <w:color w:val="auto"/>
        </w:rPr>
        <w:t>10</w:t>
      </w:r>
    </w:p>
    <w:p w14:paraId="49EB1477" w14:textId="77777777" w:rsidR="005F3BD4" w:rsidRPr="00BD76E3" w:rsidRDefault="005F3BD4" w:rsidP="00CC01F9">
      <w:pPr>
        <w:pStyle w:val="Default"/>
        <w:jc w:val="center"/>
        <w:rPr>
          <w:b/>
          <w:bCs/>
          <w:color w:val="auto"/>
        </w:rPr>
      </w:pPr>
      <w:r w:rsidRPr="00BD76E3">
        <w:rPr>
          <w:b/>
          <w:bCs/>
          <w:color w:val="auto"/>
        </w:rPr>
        <w:t>Závěrečná ustanovení</w:t>
      </w:r>
    </w:p>
    <w:p w14:paraId="5A7CE881" w14:textId="77777777" w:rsidR="005F3BD4" w:rsidRPr="00BD76E3" w:rsidRDefault="005F3BD4" w:rsidP="005F3BD4">
      <w:pPr>
        <w:pStyle w:val="Default"/>
        <w:jc w:val="both"/>
        <w:rPr>
          <w:b/>
          <w:bCs/>
          <w:color w:val="auto"/>
        </w:rPr>
      </w:pPr>
    </w:p>
    <w:bookmarkEnd w:id="1"/>
    <w:p w14:paraId="11D9C922" w14:textId="77777777" w:rsidR="00C733CE" w:rsidRPr="00BD76E3" w:rsidRDefault="00C733CE" w:rsidP="00C733CE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D76E3">
        <w:rPr>
          <w:color w:val="auto"/>
          <w:sz w:val="22"/>
          <w:szCs w:val="22"/>
        </w:rPr>
        <w:t>O výjimkách z těchto principů rozhoduje Rada SMJNN.</w:t>
      </w:r>
    </w:p>
    <w:p w14:paraId="19F3B867" w14:textId="77777777" w:rsidR="00961779" w:rsidRPr="00AF4589" w:rsidRDefault="00961779" w:rsidP="00961779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AF4589">
        <w:rPr>
          <w:color w:val="auto"/>
          <w:sz w:val="22"/>
          <w:szCs w:val="22"/>
        </w:rPr>
        <w:t>Tyto principy byly schváleny Radou SMJNN dne 7.4.2025 a nabývají účinnosti od 8.4.2025.</w:t>
      </w:r>
    </w:p>
    <w:p w14:paraId="35F61771" w14:textId="77777777" w:rsidR="00961779" w:rsidRPr="00AF4589" w:rsidRDefault="00961779" w:rsidP="00961779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 w:rsidRPr="00AF4589">
        <w:rPr>
          <w:color w:val="auto"/>
          <w:sz w:val="22"/>
          <w:szCs w:val="22"/>
        </w:rPr>
        <w:t>Tyto principy ruší pravidla schválena Radou SMJNN dne 24.2.2025, které nabyly účinnosti od 1.3.2025.</w:t>
      </w:r>
    </w:p>
    <w:p w14:paraId="2A719C6B" w14:textId="77777777" w:rsidR="00C733CE" w:rsidRPr="00BD76E3" w:rsidRDefault="00C733CE" w:rsidP="00C733CE">
      <w:pPr>
        <w:pStyle w:val="Default"/>
        <w:jc w:val="both"/>
        <w:rPr>
          <w:color w:val="auto"/>
          <w:sz w:val="22"/>
          <w:szCs w:val="22"/>
        </w:rPr>
      </w:pPr>
    </w:p>
    <w:p w14:paraId="7C4315E6" w14:textId="77777777" w:rsidR="005F3BD4" w:rsidRDefault="005F3BD4" w:rsidP="00AB601B">
      <w:pPr>
        <w:pStyle w:val="Default"/>
        <w:jc w:val="both"/>
        <w:rPr>
          <w:color w:val="auto"/>
          <w:sz w:val="22"/>
          <w:szCs w:val="22"/>
        </w:rPr>
      </w:pPr>
    </w:p>
    <w:p w14:paraId="659F9D10" w14:textId="77777777" w:rsidR="00BD76E3" w:rsidRDefault="00BD76E3" w:rsidP="00AB601B">
      <w:pPr>
        <w:pStyle w:val="Default"/>
        <w:jc w:val="both"/>
        <w:rPr>
          <w:color w:val="auto"/>
          <w:sz w:val="22"/>
          <w:szCs w:val="22"/>
        </w:rPr>
      </w:pPr>
    </w:p>
    <w:p w14:paraId="28BC4252" w14:textId="77777777" w:rsidR="00BD76E3" w:rsidRPr="00BD76E3" w:rsidRDefault="00BD76E3" w:rsidP="00AB601B">
      <w:pPr>
        <w:pStyle w:val="Default"/>
        <w:jc w:val="both"/>
        <w:rPr>
          <w:color w:val="auto"/>
          <w:sz w:val="22"/>
          <w:szCs w:val="22"/>
        </w:rPr>
      </w:pPr>
    </w:p>
    <w:p w14:paraId="734CAA05" w14:textId="77777777" w:rsidR="005F3BD4" w:rsidRPr="00BD76E3" w:rsidRDefault="005F3BD4" w:rsidP="00AB601B">
      <w:pPr>
        <w:pStyle w:val="Default"/>
        <w:jc w:val="both"/>
        <w:rPr>
          <w:color w:val="auto"/>
          <w:sz w:val="22"/>
          <w:szCs w:val="22"/>
        </w:rPr>
      </w:pPr>
    </w:p>
    <w:p w14:paraId="6CFE3111" w14:textId="77614B5A" w:rsidR="005F3BD4" w:rsidRDefault="005F3BD4" w:rsidP="00CC01F9">
      <w:pPr>
        <w:pStyle w:val="Default"/>
        <w:ind w:left="6372"/>
        <w:jc w:val="both"/>
        <w:rPr>
          <w:color w:val="auto"/>
          <w:sz w:val="22"/>
          <w:szCs w:val="22"/>
        </w:rPr>
      </w:pPr>
      <w:bookmarkStart w:id="2" w:name="_Hlk181871521"/>
      <w:r>
        <w:rPr>
          <w:color w:val="auto"/>
          <w:sz w:val="22"/>
          <w:szCs w:val="22"/>
        </w:rPr>
        <w:t>Ing. Miloš Vele</w:t>
      </w:r>
    </w:p>
    <w:p w14:paraId="67F34D1F" w14:textId="18AE815B" w:rsidR="005F3BD4" w:rsidRPr="009177FB" w:rsidRDefault="00CC01F9" w:rsidP="00CC01F9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5F3BD4">
        <w:rPr>
          <w:color w:val="auto"/>
          <w:sz w:val="22"/>
          <w:szCs w:val="22"/>
        </w:rPr>
        <w:t>primátor</w:t>
      </w:r>
      <w:bookmarkEnd w:id="2"/>
    </w:p>
    <w:sectPr w:rsidR="005F3BD4" w:rsidRPr="009177FB" w:rsidSect="00E17824">
      <w:headerReference w:type="default" r:id="rId7"/>
      <w:footerReference w:type="default" r:id="rId8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06E5" w14:textId="77777777" w:rsidR="00D90563" w:rsidRDefault="00D90563" w:rsidP="00750555">
      <w:pPr>
        <w:spacing w:after="0" w:line="240" w:lineRule="auto"/>
      </w:pPr>
      <w:r>
        <w:separator/>
      </w:r>
    </w:p>
  </w:endnote>
  <w:endnote w:type="continuationSeparator" w:id="0">
    <w:p w14:paraId="2FA46B2B" w14:textId="77777777" w:rsidR="00D90563" w:rsidRDefault="00D90563" w:rsidP="0075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CE4B" w14:textId="19C715FE" w:rsidR="00BF601D" w:rsidRPr="00BF601D" w:rsidRDefault="00AF4589">
    <w:pPr>
      <w:pStyle w:val="Zpat"/>
      <w:jc w:val="center"/>
      <w:rPr>
        <w:i/>
        <w:iCs/>
      </w:rPr>
    </w:pPr>
    <w:sdt>
      <w:sdtPr>
        <w:rPr>
          <w:i/>
          <w:iCs/>
        </w:rPr>
        <w:id w:val="2122638119"/>
        <w:docPartObj>
          <w:docPartGallery w:val="Page Numbers (Bottom of Page)"/>
          <w:docPartUnique/>
        </w:docPartObj>
      </w:sdtPr>
      <w:sdtEndPr/>
      <w:sdtContent>
        <w:r w:rsidR="00BF601D" w:rsidRPr="00BF601D">
          <w:rPr>
            <w:i/>
            <w:iCs/>
          </w:rPr>
          <w:t xml:space="preserve">Strana </w:t>
        </w:r>
        <w:r w:rsidR="00BF601D" w:rsidRPr="00BF601D">
          <w:rPr>
            <w:i/>
            <w:iCs/>
          </w:rPr>
          <w:fldChar w:fldCharType="begin"/>
        </w:r>
        <w:r w:rsidR="00BF601D" w:rsidRPr="00BF601D">
          <w:rPr>
            <w:i/>
            <w:iCs/>
          </w:rPr>
          <w:instrText>PAGE   \* MERGEFORMAT</w:instrText>
        </w:r>
        <w:r w:rsidR="00BF601D" w:rsidRPr="00BF601D">
          <w:rPr>
            <w:i/>
            <w:iCs/>
          </w:rPr>
          <w:fldChar w:fldCharType="separate"/>
        </w:r>
        <w:r w:rsidR="00BF601D" w:rsidRPr="00BF601D">
          <w:rPr>
            <w:i/>
            <w:iCs/>
          </w:rPr>
          <w:t>2</w:t>
        </w:r>
        <w:r w:rsidR="00BF601D" w:rsidRPr="00BF601D">
          <w:rPr>
            <w:i/>
            <w:iCs/>
          </w:rPr>
          <w:fldChar w:fldCharType="end"/>
        </w:r>
      </w:sdtContent>
    </w:sdt>
    <w:r w:rsidR="00BF601D" w:rsidRPr="00BF601D">
      <w:rPr>
        <w:i/>
        <w:iCs/>
      </w:rPr>
      <w:t xml:space="preserve"> z </w:t>
    </w:r>
    <w:r w:rsidR="00BD76E3">
      <w:rPr>
        <w:i/>
        <w:iCs/>
      </w:rPr>
      <w:t>4</w:t>
    </w:r>
  </w:p>
  <w:p w14:paraId="2B11C1C9" w14:textId="77777777" w:rsidR="00BF601D" w:rsidRDefault="00BF6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E4D7" w14:textId="77777777" w:rsidR="00D90563" w:rsidRDefault="00D90563" w:rsidP="00750555">
      <w:pPr>
        <w:spacing w:after="0" w:line="240" w:lineRule="auto"/>
      </w:pPr>
      <w:r>
        <w:separator/>
      </w:r>
    </w:p>
  </w:footnote>
  <w:footnote w:type="continuationSeparator" w:id="0">
    <w:p w14:paraId="2E34C824" w14:textId="77777777" w:rsidR="00D90563" w:rsidRDefault="00D90563" w:rsidP="0075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F2BB" w14:textId="64600F8C" w:rsidR="00750555" w:rsidRPr="00BC4049" w:rsidRDefault="00750555" w:rsidP="00750555">
    <w:pPr>
      <w:pStyle w:val="Zhlav"/>
      <w:pBdr>
        <w:bottom w:val="single" w:sz="4" w:space="1" w:color="auto"/>
      </w:pBdr>
      <w:jc w:val="center"/>
      <w:rPr>
        <w:rFonts w:ascii="Arial" w:hAnsi="Arial" w:cs="Arial"/>
        <w:color w:val="2F5496" w:themeColor="accent1" w:themeShade="BF"/>
        <w:sz w:val="36"/>
        <w:szCs w:val="36"/>
      </w:rPr>
    </w:pPr>
    <w:r w:rsidRPr="00BC4049"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Principy posuzování žádostí o </w:t>
    </w:r>
    <w:r w:rsidR="0070348D" w:rsidRPr="00BC4049">
      <w:rPr>
        <w:rFonts w:ascii="Arial" w:hAnsi="Arial" w:cs="Arial"/>
        <w:b/>
        <w:bCs/>
        <w:color w:val="2F5496" w:themeColor="accent1" w:themeShade="BF"/>
        <w:sz w:val="36"/>
        <w:szCs w:val="36"/>
      </w:rPr>
      <w:t>byt v obecním zájmu</w:t>
    </w:r>
  </w:p>
  <w:p w14:paraId="2D809035" w14:textId="77777777" w:rsidR="00750555" w:rsidRDefault="00750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BB0"/>
    <w:multiLevelType w:val="hybridMultilevel"/>
    <w:tmpl w:val="3252D0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40F7"/>
    <w:multiLevelType w:val="hybridMultilevel"/>
    <w:tmpl w:val="293C5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7D88"/>
    <w:multiLevelType w:val="hybridMultilevel"/>
    <w:tmpl w:val="2800D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C1F16"/>
    <w:multiLevelType w:val="hybridMultilevel"/>
    <w:tmpl w:val="B12694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5A09C1"/>
    <w:multiLevelType w:val="hybridMultilevel"/>
    <w:tmpl w:val="ADB21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26100"/>
    <w:multiLevelType w:val="hybridMultilevel"/>
    <w:tmpl w:val="60D42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F3223"/>
    <w:multiLevelType w:val="hybridMultilevel"/>
    <w:tmpl w:val="C5722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8D6D0DC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A187A"/>
    <w:multiLevelType w:val="hybridMultilevel"/>
    <w:tmpl w:val="612EC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A7D84"/>
    <w:multiLevelType w:val="hybridMultilevel"/>
    <w:tmpl w:val="ED7A2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4076C"/>
    <w:multiLevelType w:val="hybridMultilevel"/>
    <w:tmpl w:val="C6182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755E8"/>
    <w:multiLevelType w:val="hybridMultilevel"/>
    <w:tmpl w:val="E5B4B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E66A7"/>
    <w:multiLevelType w:val="hybridMultilevel"/>
    <w:tmpl w:val="ACE44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85539"/>
    <w:multiLevelType w:val="hybridMultilevel"/>
    <w:tmpl w:val="525ABBA8"/>
    <w:lvl w:ilvl="0" w:tplc="BE5C6F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E3281"/>
    <w:multiLevelType w:val="hybridMultilevel"/>
    <w:tmpl w:val="60B8E9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7361"/>
    <w:multiLevelType w:val="hybridMultilevel"/>
    <w:tmpl w:val="2F5C4F40"/>
    <w:lvl w:ilvl="0" w:tplc="E8885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36004"/>
    <w:multiLevelType w:val="hybridMultilevel"/>
    <w:tmpl w:val="ADF4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6200">
    <w:abstractNumId w:val="4"/>
  </w:num>
  <w:num w:numId="2" w16cid:durableId="361707214">
    <w:abstractNumId w:val="5"/>
  </w:num>
  <w:num w:numId="3" w16cid:durableId="447891466">
    <w:abstractNumId w:val="12"/>
  </w:num>
  <w:num w:numId="4" w16cid:durableId="766197479">
    <w:abstractNumId w:val="11"/>
  </w:num>
  <w:num w:numId="5" w16cid:durableId="3635060">
    <w:abstractNumId w:val="13"/>
  </w:num>
  <w:num w:numId="6" w16cid:durableId="552817434">
    <w:abstractNumId w:val="6"/>
  </w:num>
  <w:num w:numId="7" w16cid:durableId="1252930112">
    <w:abstractNumId w:val="15"/>
  </w:num>
  <w:num w:numId="8" w16cid:durableId="2139565944">
    <w:abstractNumId w:val="7"/>
  </w:num>
  <w:num w:numId="9" w16cid:durableId="1660303077">
    <w:abstractNumId w:val="3"/>
  </w:num>
  <w:num w:numId="10" w16cid:durableId="290012976">
    <w:abstractNumId w:val="9"/>
  </w:num>
  <w:num w:numId="11" w16cid:durableId="814032292">
    <w:abstractNumId w:val="2"/>
  </w:num>
  <w:num w:numId="12" w16cid:durableId="1659579553">
    <w:abstractNumId w:val="10"/>
  </w:num>
  <w:num w:numId="13" w16cid:durableId="1949239455">
    <w:abstractNumId w:val="8"/>
  </w:num>
  <w:num w:numId="14" w16cid:durableId="1010303950">
    <w:abstractNumId w:val="0"/>
  </w:num>
  <w:num w:numId="15" w16cid:durableId="1358503580">
    <w:abstractNumId w:val="14"/>
  </w:num>
  <w:num w:numId="16" w16cid:durableId="234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25"/>
    <w:rsid w:val="00004C5F"/>
    <w:rsid w:val="00022BF2"/>
    <w:rsid w:val="000628AF"/>
    <w:rsid w:val="000741A3"/>
    <w:rsid w:val="0009477B"/>
    <w:rsid w:val="00096AD2"/>
    <w:rsid w:val="000C6151"/>
    <w:rsid w:val="000D25D2"/>
    <w:rsid w:val="000D40F6"/>
    <w:rsid w:val="000E1535"/>
    <w:rsid w:val="000F512B"/>
    <w:rsid w:val="00106231"/>
    <w:rsid w:val="00121814"/>
    <w:rsid w:val="0012393B"/>
    <w:rsid w:val="001471DF"/>
    <w:rsid w:val="00170270"/>
    <w:rsid w:val="001743EB"/>
    <w:rsid w:val="00175BDE"/>
    <w:rsid w:val="00183C04"/>
    <w:rsid w:val="00193C38"/>
    <w:rsid w:val="001A7379"/>
    <w:rsid w:val="001C7382"/>
    <w:rsid w:val="001E1025"/>
    <w:rsid w:val="001E2060"/>
    <w:rsid w:val="001E3762"/>
    <w:rsid w:val="001F4D7A"/>
    <w:rsid w:val="00210D5D"/>
    <w:rsid w:val="00263558"/>
    <w:rsid w:val="00321FB3"/>
    <w:rsid w:val="00322E31"/>
    <w:rsid w:val="0035499C"/>
    <w:rsid w:val="00364139"/>
    <w:rsid w:val="003762C0"/>
    <w:rsid w:val="003A45BD"/>
    <w:rsid w:val="003B47CC"/>
    <w:rsid w:val="003D32C8"/>
    <w:rsid w:val="003E160E"/>
    <w:rsid w:val="003F3B1B"/>
    <w:rsid w:val="0040672E"/>
    <w:rsid w:val="0044731D"/>
    <w:rsid w:val="004C64E5"/>
    <w:rsid w:val="004D1F67"/>
    <w:rsid w:val="004F5C26"/>
    <w:rsid w:val="00541D54"/>
    <w:rsid w:val="00584B62"/>
    <w:rsid w:val="00594352"/>
    <w:rsid w:val="00594934"/>
    <w:rsid w:val="005F3BD4"/>
    <w:rsid w:val="006227B2"/>
    <w:rsid w:val="00632FF5"/>
    <w:rsid w:val="00674419"/>
    <w:rsid w:val="006F296F"/>
    <w:rsid w:val="0070348D"/>
    <w:rsid w:val="00703AEC"/>
    <w:rsid w:val="00750555"/>
    <w:rsid w:val="00755589"/>
    <w:rsid w:val="00771895"/>
    <w:rsid w:val="007844E4"/>
    <w:rsid w:val="007939D0"/>
    <w:rsid w:val="007B0467"/>
    <w:rsid w:val="007E154A"/>
    <w:rsid w:val="007E45E7"/>
    <w:rsid w:val="007E527F"/>
    <w:rsid w:val="0088326F"/>
    <w:rsid w:val="00883B2C"/>
    <w:rsid w:val="008879DA"/>
    <w:rsid w:val="008D63FE"/>
    <w:rsid w:val="008F6335"/>
    <w:rsid w:val="009128DC"/>
    <w:rsid w:val="009177FB"/>
    <w:rsid w:val="009528B7"/>
    <w:rsid w:val="00961779"/>
    <w:rsid w:val="009900D6"/>
    <w:rsid w:val="00A21CAB"/>
    <w:rsid w:val="00A33DC3"/>
    <w:rsid w:val="00A66A0F"/>
    <w:rsid w:val="00A91503"/>
    <w:rsid w:val="00AA1BCC"/>
    <w:rsid w:val="00AB601B"/>
    <w:rsid w:val="00AC6370"/>
    <w:rsid w:val="00AD036D"/>
    <w:rsid w:val="00AF1569"/>
    <w:rsid w:val="00AF4589"/>
    <w:rsid w:val="00B0577F"/>
    <w:rsid w:val="00B232F6"/>
    <w:rsid w:val="00B539BB"/>
    <w:rsid w:val="00B84D1B"/>
    <w:rsid w:val="00B85FD1"/>
    <w:rsid w:val="00BC4049"/>
    <w:rsid w:val="00BD76E3"/>
    <w:rsid w:val="00BE6139"/>
    <w:rsid w:val="00BF601D"/>
    <w:rsid w:val="00C17F63"/>
    <w:rsid w:val="00C31084"/>
    <w:rsid w:val="00C455AE"/>
    <w:rsid w:val="00C61C17"/>
    <w:rsid w:val="00C677FF"/>
    <w:rsid w:val="00C733CE"/>
    <w:rsid w:val="00CA0C4D"/>
    <w:rsid w:val="00CB6277"/>
    <w:rsid w:val="00CB6F9C"/>
    <w:rsid w:val="00CC01F9"/>
    <w:rsid w:val="00CC4F4E"/>
    <w:rsid w:val="00CF5ADC"/>
    <w:rsid w:val="00CF67C1"/>
    <w:rsid w:val="00D00D7F"/>
    <w:rsid w:val="00D1025D"/>
    <w:rsid w:val="00D169C1"/>
    <w:rsid w:val="00D82536"/>
    <w:rsid w:val="00D90563"/>
    <w:rsid w:val="00DB4FCA"/>
    <w:rsid w:val="00DC7F95"/>
    <w:rsid w:val="00E17824"/>
    <w:rsid w:val="00E35876"/>
    <w:rsid w:val="00E977D5"/>
    <w:rsid w:val="00EB069E"/>
    <w:rsid w:val="00EC62A5"/>
    <w:rsid w:val="00ED29E7"/>
    <w:rsid w:val="00EE6458"/>
    <w:rsid w:val="00F029E2"/>
    <w:rsid w:val="00F07E3B"/>
    <w:rsid w:val="00F10156"/>
    <w:rsid w:val="00F2496E"/>
    <w:rsid w:val="00F25EE0"/>
    <w:rsid w:val="00F62AC9"/>
    <w:rsid w:val="00F87AAE"/>
    <w:rsid w:val="00FA3D40"/>
    <w:rsid w:val="00FA4E27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7447"/>
  <w15:chartTrackingRefBased/>
  <w15:docId w15:val="{576D1237-8F87-4DCD-B6EB-F6D42A2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0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05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55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555"/>
  </w:style>
  <w:style w:type="paragraph" w:styleId="Zpat">
    <w:name w:val="footer"/>
    <w:basedOn w:val="Normln"/>
    <w:link w:val="ZpatChar"/>
    <w:uiPriority w:val="99"/>
    <w:unhideWhenUsed/>
    <w:rsid w:val="0075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555"/>
  </w:style>
  <w:style w:type="paragraph" w:styleId="Odstavecseseznamem">
    <w:name w:val="List Paragraph"/>
    <w:basedOn w:val="Normln"/>
    <w:uiPriority w:val="34"/>
    <w:qFormat/>
    <w:rsid w:val="0012181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21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Rosenbergová, Martina</dc:creator>
  <cp:keywords/>
  <dc:description/>
  <cp:lastModifiedBy>Vacková Martina, Ing.</cp:lastModifiedBy>
  <cp:revision>3</cp:revision>
  <cp:lastPrinted>2025-02-24T14:08:00Z</cp:lastPrinted>
  <dcterms:created xsi:type="dcterms:W3CDTF">2025-03-31T06:45:00Z</dcterms:created>
  <dcterms:modified xsi:type="dcterms:W3CDTF">2025-04-07T07:07:00Z</dcterms:modified>
</cp:coreProperties>
</file>